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DA130" w14:textId="7EE67CD0" w:rsidR="004A291A" w:rsidRPr="00600B40" w:rsidRDefault="005D4C99" w:rsidP="005D4C99">
      <w:pPr>
        <w:spacing w:before="0" w:line="240" w:lineRule="auto"/>
        <w:ind w:right="0"/>
        <w:jc w:val="center"/>
        <w:rPr>
          <w:rFonts w:ascii="Arial Black" w:hAnsi="Arial Black" w:cstheme="minorBidi"/>
          <w:b/>
          <w:bCs/>
          <w:color w:val="002060"/>
          <w:spacing w:val="-20"/>
          <w:sz w:val="32"/>
          <w:szCs w:val="32"/>
          <w:lang w:val="pl-PL" w:eastAsia="fr-FR"/>
        </w:rPr>
      </w:pPr>
      <w:bookmarkStart w:id="0" w:name="_Hlk120879802"/>
      <w:r w:rsidRPr="00600B40">
        <w:rPr>
          <w:rFonts w:ascii="Arial Black" w:hAnsi="Arial Black" w:cstheme="minorBidi"/>
          <w:b/>
          <w:bCs/>
          <w:color w:val="002060"/>
          <w:spacing w:val="-20"/>
          <w:sz w:val="32"/>
          <w:szCs w:val="32"/>
          <w:lang w:val="pl-PL" w:eastAsia="fr-FR"/>
        </w:rPr>
        <w:t>Dlaczego metal rządzi rynkiem kart płatniczych</w:t>
      </w:r>
    </w:p>
    <w:p w14:paraId="56D96605" w14:textId="77777777" w:rsidR="005D4C99" w:rsidRPr="00600B40" w:rsidRDefault="005D4C99" w:rsidP="005D4C99">
      <w:pPr>
        <w:spacing w:before="0" w:line="240" w:lineRule="auto"/>
        <w:ind w:right="0"/>
        <w:jc w:val="center"/>
        <w:rPr>
          <w:rFonts w:ascii="Arial Black" w:hAnsi="Arial Black" w:cstheme="minorBidi"/>
          <w:b/>
          <w:bCs/>
          <w:color w:val="002060"/>
          <w:spacing w:val="-20"/>
          <w:sz w:val="32"/>
          <w:szCs w:val="32"/>
          <w:lang w:val="pl-PL" w:eastAsia="fr-FR"/>
        </w:rPr>
      </w:pPr>
    </w:p>
    <w:p w14:paraId="29DF7E9C" w14:textId="5C64837B" w:rsidR="00982D72" w:rsidRPr="00600B40" w:rsidRDefault="00982D72" w:rsidP="00982D72">
      <w:pPr>
        <w:ind w:right="0"/>
        <w:rPr>
          <w:b/>
          <w:color w:val="002060"/>
          <w:sz w:val="21"/>
          <w:szCs w:val="21"/>
          <w:lang w:val="pl-PL"/>
        </w:rPr>
      </w:pPr>
      <w:r w:rsidRPr="00600B40">
        <w:rPr>
          <w:b/>
          <w:color w:val="002060"/>
          <w:sz w:val="21"/>
          <w:szCs w:val="21"/>
          <w:lang w:val="pl-PL"/>
        </w:rPr>
        <w:t>Agata Kontrym-Woś, SALES DIRECTOR Banking &amp; Payment Services dla Thales:</w:t>
      </w:r>
    </w:p>
    <w:p w14:paraId="2D8273D1" w14:textId="7808B4F4" w:rsidR="00982D72" w:rsidRPr="00600B40" w:rsidRDefault="009F7AD7" w:rsidP="00982D72">
      <w:pPr>
        <w:ind w:right="0"/>
        <w:rPr>
          <w:bCs/>
          <w:i/>
          <w:iCs/>
          <w:color w:val="002060"/>
          <w:sz w:val="21"/>
          <w:szCs w:val="21"/>
          <w:lang w:val="pl-PL"/>
        </w:rPr>
      </w:pPr>
      <w:r>
        <w:rPr>
          <w:bCs/>
          <w:i/>
          <w:iCs/>
          <w:color w:val="002060"/>
          <w:sz w:val="21"/>
          <w:szCs w:val="21"/>
          <w:lang w:val="pl-PL"/>
        </w:rPr>
        <w:t xml:space="preserve">- </w:t>
      </w:r>
      <w:r w:rsidR="00982D72" w:rsidRPr="00600B40">
        <w:rPr>
          <w:bCs/>
          <w:i/>
          <w:iCs/>
          <w:color w:val="002060"/>
          <w:sz w:val="21"/>
          <w:szCs w:val="21"/>
          <w:lang w:val="pl-PL"/>
        </w:rPr>
        <w:t>Zaspokajając rosnące zapotrzebowanie konsumentów na prestiż i status, metalowe karty płatnicze pomagają instytucjom finansowym lepiej wyróżniać się na hiperkonkurencyjnym rynku.</w:t>
      </w:r>
    </w:p>
    <w:p w14:paraId="006E9ED6" w14:textId="4F68AFFD" w:rsidR="00316882" w:rsidRPr="00600B40" w:rsidRDefault="00C63CC2" w:rsidP="00600B40">
      <w:pPr>
        <w:rPr>
          <w:color w:val="002060"/>
          <w:lang w:val="pl-PL"/>
        </w:rPr>
      </w:pPr>
      <w:r w:rsidRPr="00600B40">
        <w:rPr>
          <w:b/>
          <w:color w:val="002060"/>
          <w:sz w:val="21"/>
          <w:szCs w:val="21"/>
          <w:lang w:val="pl-PL"/>
        </w:rPr>
        <w:t>Pomimo postępującej cyfryzacji trendów płatniczych, karty wciąż stanowią popularną i ważną ofertę produktową dla banków i ich klientów, odpowiadając za 56% wszystkich transakcji w 2022 roku</w:t>
      </w:r>
      <w:r w:rsidRPr="00600B40">
        <w:rPr>
          <w:rStyle w:val="Odwoanieprzypisukocowego"/>
          <w:color w:val="002060"/>
          <w:lang w:val="pl-PL"/>
        </w:rPr>
        <w:endnoteReference w:id="1"/>
      </w:r>
      <w:r w:rsidRPr="00600B40">
        <w:rPr>
          <w:color w:val="002060"/>
          <w:lang w:val="pl-PL"/>
        </w:rPr>
        <w:t>.</w:t>
      </w:r>
    </w:p>
    <w:bookmarkEnd w:id="0"/>
    <w:p w14:paraId="0AE7E358" w14:textId="77777777" w:rsidR="00600B40" w:rsidRPr="00600B40" w:rsidRDefault="00600B40" w:rsidP="00600B40">
      <w:pPr>
        <w:rPr>
          <w:color w:val="002060"/>
          <w:sz w:val="21"/>
          <w:szCs w:val="21"/>
          <w:lang w:val="pl-PL"/>
        </w:rPr>
      </w:pPr>
      <w:r w:rsidRPr="00600B40">
        <w:rPr>
          <w:color w:val="002060"/>
          <w:sz w:val="21"/>
          <w:szCs w:val="21"/>
          <w:lang w:val="pl-PL"/>
        </w:rPr>
        <w:t>W omawianym segmencie, można odnotować znaczący wzrost zainteresowania metalowymi kartami. Według ABI Research liczba wydanych kart metalowych będzie wzrastać z 34,2 mln w 2020 roku do ponad 90 mln w 2025 roku</w:t>
      </w:r>
      <w:r w:rsidRPr="00600B40">
        <w:rPr>
          <w:rStyle w:val="Odwoanieprzypisukocowego"/>
          <w:color w:val="002060"/>
          <w:sz w:val="21"/>
          <w:szCs w:val="21"/>
          <w:lang w:val="pl-PL"/>
        </w:rPr>
        <w:endnoteReference w:id="2"/>
      </w:r>
      <w:r w:rsidRPr="00600B40">
        <w:rPr>
          <w:color w:val="002060"/>
          <w:sz w:val="21"/>
          <w:szCs w:val="21"/>
          <w:lang w:val="pl-PL"/>
        </w:rPr>
        <w:t xml:space="preserve">. Nic dziwnego, gdyż za dynamiczny wzrost odpowiada kombinacja sprzyjających czynników. </w:t>
      </w:r>
    </w:p>
    <w:p w14:paraId="7D095439" w14:textId="77777777" w:rsidR="00600B40" w:rsidRPr="00600B40" w:rsidRDefault="00600B40" w:rsidP="00600B40">
      <w:pPr>
        <w:rPr>
          <w:i/>
          <w:iCs/>
          <w:color w:val="002060"/>
          <w:sz w:val="21"/>
          <w:szCs w:val="21"/>
          <w:lang w:val="pl-PL"/>
        </w:rPr>
      </w:pPr>
      <w:bookmarkStart w:id="1" w:name="_Hlk155615272"/>
      <w:r w:rsidRPr="00600B40">
        <w:rPr>
          <w:i/>
          <w:iCs/>
          <w:color w:val="002060"/>
          <w:sz w:val="21"/>
          <w:szCs w:val="21"/>
          <w:lang w:val="pl-PL"/>
        </w:rPr>
        <w:t xml:space="preserve">- Karty metalowe to wyjątkowe narzędzie związane z sektorem usług premium, odpowiadające na potrzeby konsumentów, dla których ważne są innowacje i ekskluzywność. Dużym zainteresowaniem cieszą się przede wszystkim w grupie klientów zamożnych i millenialsów, spośród których preferuje je 77- 80% </w:t>
      </w:r>
      <w:r w:rsidRPr="00600B40">
        <w:rPr>
          <w:color w:val="002060"/>
          <w:sz w:val="21"/>
          <w:szCs w:val="21"/>
          <w:lang w:val="pl-PL"/>
        </w:rPr>
        <w:t xml:space="preserve">– podkreśla </w:t>
      </w:r>
      <w:r w:rsidRPr="00600B40">
        <w:rPr>
          <w:rStyle w:val="ui-provider"/>
          <w:color w:val="002060"/>
          <w:sz w:val="21"/>
          <w:szCs w:val="21"/>
        </w:rPr>
        <w:t>Agata Kontrym-Woś, SALES DIRECTOR Banking &amp; Payment Services dla Thales</w:t>
      </w:r>
      <w:r w:rsidRPr="00600B40">
        <w:rPr>
          <w:color w:val="002060"/>
          <w:sz w:val="21"/>
          <w:szCs w:val="21"/>
          <w:lang w:val="pl-PL"/>
        </w:rPr>
        <w:t>.</w:t>
      </w:r>
    </w:p>
    <w:bookmarkEnd w:id="1"/>
    <w:p w14:paraId="69F103D1" w14:textId="77777777" w:rsidR="00600B40" w:rsidRPr="00600B40" w:rsidRDefault="00600B40" w:rsidP="00600B40">
      <w:pPr>
        <w:rPr>
          <w:color w:val="002060"/>
          <w:sz w:val="21"/>
          <w:szCs w:val="21"/>
          <w:lang w:val="pl-PL"/>
        </w:rPr>
      </w:pPr>
      <w:r w:rsidRPr="00600B40">
        <w:rPr>
          <w:color w:val="002060"/>
          <w:sz w:val="21"/>
          <w:szCs w:val="21"/>
          <w:lang w:val="pl-PL"/>
        </w:rPr>
        <w:t>Popularność metalowych kart odzwierciedla ciągłe zaangażowanie wiodących dostawców kart w innowacje. W przypadku wielu konsumentów metalowe karty płatnicze zaspokajają potrzebę uznania i ekskluzywności. Z kolei, dla tradycyjnych banków, neobanków i fintechów, metalowe karty mogą stanowić bardzo skuteczne narzędzie wspierające strategie budowania marki i różnicowania oraz wzmacniać w konkretny sposób związek z konsumentami. Karty metalowe mogą również stanowić część planów hiperpersonalizacji, dając użytkownikom końcowym poczucie kontroli. Oferują też możliwości tworzenia nowych źródeł przychodów i zapobiegają utracie klientów, dzięki idealnemu dopasowaniu usług premium i usług o wartości dodanej.</w:t>
      </w:r>
    </w:p>
    <w:p w14:paraId="5E2C6588" w14:textId="77777777" w:rsidR="00600B40" w:rsidRPr="00600B40" w:rsidRDefault="00600B40" w:rsidP="00600B40">
      <w:pPr>
        <w:rPr>
          <w:b/>
          <w:bCs/>
          <w:color w:val="002060"/>
          <w:sz w:val="21"/>
          <w:szCs w:val="21"/>
          <w:lang w:val="pl-PL"/>
        </w:rPr>
      </w:pPr>
      <w:r w:rsidRPr="00600B40">
        <w:rPr>
          <w:b/>
          <w:bCs/>
          <w:color w:val="002060"/>
          <w:sz w:val="21"/>
          <w:szCs w:val="21"/>
          <w:lang w:val="pl-PL"/>
        </w:rPr>
        <w:t>Od narzędzi płatniczych po lifestylowe akcesoria</w:t>
      </w:r>
    </w:p>
    <w:p w14:paraId="683FEEDE" w14:textId="77777777" w:rsidR="00600B40" w:rsidRPr="00600B40" w:rsidRDefault="00600B40" w:rsidP="00600B40">
      <w:pPr>
        <w:rPr>
          <w:color w:val="002060"/>
          <w:sz w:val="21"/>
          <w:szCs w:val="21"/>
          <w:lang w:val="pl-PL"/>
        </w:rPr>
      </w:pPr>
      <w:r w:rsidRPr="00600B40">
        <w:rPr>
          <w:color w:val="002060"/>
          <w:sz w:val="21"/>
          <w:szCs w:val="21"/>
          <w:lang w:val="pl-PL"/>
        </w:rPr>
        <w:t>Główną zaletą kart metalowych jest niewątpliwie ich wygląd i wrażenie dotykowe. W porównaniu z konwencjonalnymi plastikowymi produktami są cięższe, cechuje je przyjemniejsza estetyka i doświadczenie dotykowe. Będąc jednocześnie lifestylowym gadżetem i narzędziem płatniczym, metalowe karty wyróżniają się na tle innych. Reprezentują pewien status finansowy, spełnione aspiracja i wywołują emocje konsumentów.</w:t>
      </w:r>
    </w:p>
    <w:p w14:paraId="77BB9A07" w14:textId="77777777" w:rsidR="00600B40" w:rsidRPr="00600B40" w:rsidRDefault="00600B40" w:rsidP="00600B40">
      <w:pPr>
        <w:rPr>
          <w:color w:val="002060"/>
          <w:sz w:val="21"/>
          <w:szCs w:val="21"/>
          <w:lang w:val="pl-PL"/>
        </w:rPr>
      </w:pPr>
      <w:r w:rsidRPr="00600B40">
        <w:rPr>
          <w:color w:val="002060"/>
          <w:sz w:val="21"/>
          <w:szCs w:val="21"/>
          <w:lang w:val="pl-PL"/>
        </w:rPr>
        <w:t>Lepszy styl i status zapewniany przez karty metalowe doskonale pasują do sposobu myślenia współczesnych konsumentów. Dotyczy to w szczególności dwóch kluczowych segmentów rynku, którymi są millenialsi i klienci zamożni. Ostatnie badania rynku ukazują zakres i stopień atrakcyjności metalowych kart. Według ogólnoświatowego badania przeprowadzonego przez Edgar Dunn &amp; Company, 58% konsumentów postrzegałoby swój bank bardziej pozytywnie, gdyby oferował metalowe karty płatnicze. Warto też zauważyć, że 80% zamożnych konsumentów i 77% konsumentów z pokolenia millenialsów stwierdziło, że wolałoby kartę metalową, pod warunkiem, że zapewniałaby ona te same korzyści i premie, co karta plastikowa</w:t>
      </w:r>
      <w:r w:rsidRPr="00600B40">
        <w:rPr>
          <w:rStyle w:val="Odwoanieprzypisukocowego"/>
          <w:color w:val="002060"/>
          <w:sz w:val="21"/>
          <w:szCs w:val="21"/>
          <w:lang w:val="pl-PL"/>
        </w:rPr>
        <w:endnoteReference w:id="3"/>
      </w:r>
      <w:r w:rsidRPr="00600B40">
        <w:rPr>
          <w:color w:val="002060"/>
          <w:sz w:val="21"/>
          <w:szCs w:val="21"/>
          <w:lang w:val="pl-PL"/>
        </w:rPr>
        <w:t xml:space="preserve">. </w:t>
      </w:r>
    </w:p>
    <w:p w14:paraId="73110782" w14:textId="77777777" w:rsidR="00600B40" w:rsidRPr="00600B40" w:rsidRDefault="00600B40" w:rsidP="00600B40">
      <w:pPr>
        <w:rPr>
          <w:color w:val="002060"/>
          <w:sz w:val="21"/>
          <w:szCs w:val="21"/>
          <w:lang w:val="pl-PL"/>
        </w:rPr>
      </w:pPr>
      <w:r w:rsidRPr="00600B40">
        <w:rPr>
          <w:color w:val="002060"/>
          <w:sz w:val="21"/>
          <w:szCs w:val="21"/>
          <w:lang w:val="pl-PL"/>
        </w:rPr>
        <w:t xml:space="preserve">Niemniej jednak, dobrze przygotowany program kart, zapewniający dodatkowe korzyści i usługi, takie jak cashback, uprzywilejowane usługi bankowe, dostęp do stref vip, specjalne zniżki, polisy ubezpieczeniowe i inne gwarancje, zdecydowanie pozostaje kluczem do przyciągnięcia i utrzymania </w:t>
      </w:r>
      <w:r w:rsidRPr="00600B40">
        <w:rPr>
          <w:color w:val="002060"/>
          <w:sz w:val="21"/>
          <w:szCs w:val="21"/>
          <w:lang w:val="pl-PL"/>
        </w:rPr>
        <w:lastRenderedPageBreak/>
        <w:t>konsumentów. Dotyczy to zarówno nowo uruchamianych programów, jak i rebrandingu istniejących. Metalowe karty są wówczas wisienką na torcie.</w:t>
      </w:r>
    </w:p>
    <w:p w14:paraId="6F5A07ED" w14:textId="77777777" w:rsidR="00600B40" w:rsidRPr="00600B40" w:rsidRDefault="00600B40" w:rsidP="00600B40">
      <w:pPr>
        <w:rPr>
          <w:b/>
          <w:bCs/>
          <w:color w:val="002060"/>
          <w:sz w:val="21"/>
          <w:szCs w:val="21"/>
          <w:lang w:val="pl-PL"/>
        </w:rPr>
      </w:pPr>
      <w:r w:rsidRPr="00600B40">
        <w:rPr>
          <w:b/>
          <w:bCs/>
          <w:color w:val="002060"/>
          <w:sz w:val="21"/>
          <w:szCs w:val="21"/>
          <w:lang w:val="pl-PL"/>
        </w:rPr>
        <w:t>Zdrowy zwrot inwestycji</w:t>
      </w:r>
    </w:p>
    <w:p w14:paraId="6BEEF91E" w14:textId="77777777" w:rsidR="00600B40" w:rsidRPr="00600B40" w:rsidRDefault="00600B40" w:rsidP="00600B40">
      <w:pPr>
        <w:rPr>
          <w:color w:val="002060"/>
          <w:sz w:val="21"/>
          <w:szCs w:val="21"/>
          <w:lang w:val="pl-PL"/>
        </w:rPr>
      </w:pPr>
      <w:r w:rsidRPr="00600B40">
        <w:rPr>
          <w:color w:val="002060"/>
          <w:sz w:val="21"/>
          <w:szCs w:val="21"/>
          <w:lang w:val="pl-PL"/>
        </w:rPr>
        <w:t>Banki inwestujące w metalowe karty płatnicze i powiązane z nimi programy mogą odnieść znaczne zyski komercyjne. Tradycyjnie, instytucje finansowe mogły polegać na wysokim poziomie lojalności klientów. Współcześni konsumenci znacznie chętniej przechodzą do konkurencji oferującej atrakcyjniejszą ofertę. Nowa generacja millenialsów stanowi siłę napędową tych przepływów, wraz z reaktywnymi i innowacyjnymi fintechami i neobankami, dla których są oni głównym celem. W rezultacie wszystkie instytucje finansowe muszą teraz ciężej pracować, aby przyciągnąć i zatrzymać klientów.</w:t>
      </w:r>
    </w:p>
    <w:p w14:paraId="49D7F500" w14:textId="77777777" w:rsidR="00600B40" w:rsidRPr="00600B40" w:rsidRDefault="00600B40" w:rsidP="00600B40">
      <w:pPr>
        <w:rPr>
          <w:color w:val="002060"/>
          <w:sz w:val="21"/>
          <w:szCs w:val="21"/>
          <w:lang w:val="pl-PL"/>
        </w:rPr>
      </w:pPr>
      <w:r w:rsidRPr="00600B40">
        <w:rPr>
          <w:color w:val="002060"/>
          <w:sz w:val="21"/>
          <w:szCs w:val="21"/>
          <w:lang w:val="pl-PL"/>
        </w:rPr>
        <w:t>W badaniu Edgar Dunn &amp; Company 70% ankietowanych stwierdziło, że opuściłoby swój obecny bank na rzecz takiego, który oferuje metalową kartę o podobnych korzyściach. Karty metalowe odgrywają zatem ważną rolę, pomagając wyróżnić się na coraz bardziej zatłoczonym i konkurencyjnym rynku. Karty metalowe mogą również uzasadniać wyższą opłatę abonamentową, zwiększając w ten sposób przychody i zysk wydawcy karty. Biorąc pod uwagę wartość, jaką konsumenci przypisują metalowym kartom, korzyści bilansowe zazwyczaj sięgają znacznie dalej. Banki oferujące metalowe karty, mogą oczekiwać wyższych wskaźników aktywacji kart, a także znacznie większego prawdopodobieństwa, że ​​ich karta osiągnie status „najważniejszej w portfelu”, a tym samym osiągnie wyższe wskaźniki wydatków.</w:t>
      </w:r>
    </w:p>
    <w:p w14:paraId="7CDED9A3" w14:textId="77777777" w:rsidR="00600B40" w:rsidRPr="00600B40" w:rsidRDefault="00600B40" w:rsidP="00600B40">
      <w:pPr>
        <w:rPr>
          <w:b/>
          <w:bCs/>
          <w:color w:val="002060"/>
          <w:sz w:val="21"/>
          <w:szCs w:val="21"/>
          <w:lang w:val="pl-PL"/>
        </w:rPr>
      </w:pPr>
      <w:r w:rsidRPr="00600B40">
        <w:rPr>
          <w:b/>
          <w:bCs/>
          <w:color w:val="002060"/>
          <w:sz w:val="21"/>
          <w:szCs w:val="21"/>
          <w:lang w:val="pl-PL"/>
        </w:rPr>
        <w:t>Kwitnąca innowacja</w:t>
      </w:r>
    </w:p>
    <w:p w14:paraId="0C503DDA" w14:textId="77777777" w:rsidR="00600B40" w:rsidRPr="00600B40" w:rsidRDefault="00600B40" w:rsidP="00600B40">
      <w:pPr>
        <w:rPr>
          <w:color w:val="002060"/>
          <w:sz w:val="21"/>
          <w:szCs w:val="21"/>
          <w:lang w:val="pl-PL"/>
        </w:rPr>
      </w:pPr>
      <w:r w:rsidRPr="00600B40">
        <w:rPr>
          <w:color w:val="002060"/>
          <w:sz w:val="21"/>
          <w:szCs w:val="21"/>
          <w:lang w:val="pl-PL"/>
        </w:rPr>
        <w:t xml:space="preserve">Wraz z rozwojem rynku, poszerzyła się także gama dostępnych wzorów kart metalowych. Pojawiły się opcje kart o różnych strukturach, łączące metal i PCV, odsłaniające metal na krawędziach, z przodu lub tyłu karty. Karty mogą mieć różną wagę, która waha się od 10g do 28g, mogą być pokryte specjalnymi lakierami, złocone, grawerowane, a nawet ozdobione wbudowanymi kryształami i diamentami. </w:t>
      </w:r>
    </w:p>
    <w:p w14:paraId="7D617C94" w14:textId="77777777" w:rsidR="00600B40" w:rsidRPr="00600B40" w:rsidRDefault="00600B40" w:rsidP="00600B40">
      <w:pPr>
        <w:rPr>
          <w:color w:val="002060"/>
          <w:sz w:val="21"/>
          <w:szCs w:val="21"/>
          <w:lang w:val="pl-PL"/>
        </w:rPr>
      </w:pPr>
      <w:r w:rsidRPr="00600B40">
        <w:rPr>
          <w:color w:val="002060"/>
          <w:sz w:val="21"/>
          <w:szCs w:val="21"/>
          <w:lang w:val="pl-PL"/>
        </w:rPr>
        <w:t>Udoskonalony styl i wygląd kart metalowych nie odbywa się kosztem ich funkcjonalności. Karty metalowe obsługują zarówno transakcje kontaktowe, jak i zbliżeniowe i spełniają standardy EMV. W przyszłości możemy się również spodziewać dalszych innowacji technologicznych, począwszy od zwiększonego wykorzystania metali pochodzących z recyklingu, po wbudowanie dalszych zabezpieczeń i elementów ozdobnych.</w:t>
      </w:r>
    </w:p>
    <w:p w14:paraId="1FF5364C" w14:textId="77777777" w:rsidR="00600B40" w:rsidRPr="00600B40" w:rsidRDefault="00600B40" w:rsidP="00600B40">
      <w:pPr>
        <w:rPr>
          <w:b/>
          <w:bCs/>
          <w:color w:val="002060"/>
          <w:sz w:val="21"/>
          <w:szCs w:val="21"/>
          <w:lang w:val="pl-PL"/>
        </w:rPr>
      </w:pPr>
      <w:r w:rsidRPr="00600B40">
        <w:rPr>
          <w:b/>
          <w:bCs/>
          <w:color w:val="002060"/>
          <w:sz w:val="21"/>
          <w:szCs w:val="21"/>
          <w:lang w:val="pl-PL"/>
        </w:rPr>
        <w:t>Współpraca z Thalesem</w:t>
      </w:r>
    </w:p>
    <w:p w14:paraId="1D30D741" w14:textId="77777777" w:rsidR="00600B40" w:rsidRPr="00600B40" w:rsidRDefault="00600B40" w:rsidP="00600B40">
      <w:pPr>
        <w:rPr>
          <w:color w:val="002060"/>
          <w:sz w:val="21"/>
          <w:szCs w:val="21"/>
          <w:lang w:val="pl-PL"/>
        </w:rPr>
      </w:pPr>
      <w:r w:rsidRPr="00600B40">
        <w:rPr>
          <w:color w:val="002060"/>
          <w:sz w:val="21"/>
          <w:szCs w:val="21"/>
          <w:lang w:val="pl-PL"/>
        </w:rPr>
        <w:t>Rynek fizycznych kart płatniczych nigdy nie był bardziej dynamiczny i ekscytujący. Liczba banków, które dostrzegają siłę i potencjał kart metalowych, gwałtownie rośnie. Jednak wdrożenie kart metalowych i maksymalizacja zwrotu z inwestycji może być trudnym wyzwaniem. Wybór odpowiedniego partnera-dostawcy jest kluczowym elementem udanego uruchomienia programu opartego na metalu.</w:t>
      </w:r>
    </w:p>
    <w:p w14:paraId="75BEA3B0" w14:textId="77777777" w:rsidR="00600B40" w:rsidRPr="00600B40" w:rsidRDefault="00600B40" w:rsidP="00600B40">
      <w:pPr>
        <w:rPr>
          <w:color w:val="002060"/>
          <w:sz w:val="21"/>
          <w:szCs w:val="21"/>
          <w:lang w:val="pl-PL"/>
        </w:rPr>
      </w:pPr>
      <w:r w:rsidRPr="00600B40">
        <w:rPr>
          <w:color w:val="002060"/>
          <w:sz w:val="21"/>
          <w:szCs w:val="21"/>
          <w:lang w:val="pl-PL"/>
        </w:rPr>
        <w:t xml:space="preserve">Thales jest od dawna liderem tego rynku i dostarcza średnio pięć milionów metalowych kart rocznie. Zaangażowana w innowacje firma Thales posiada największą ofertę kart metalowych z możliwością zastosowania efektów specjalnych, zapewniających kreatywny wygląd i wrażenia. Dzięki zespołom ekspertów ds. kart metalowych, trzem zakładom produkcyjnym i ponad dwudziestu wyspecjalizowanym zakładom personalizacji na całym świecie, Thales towarzyszy bankom na drodze do wprowadzenia metalowych kart na rynek i wspiera ich wdrażanie przez wydawców. W rezultacie, wydawcy chcący skorzystać z fali rosnącego zainteresowania metalowymi kartami </w:t>
      </w:r>
      <w:r w:rsidRPr="00600B40">
        <w:rPr>
          <w:color w:val="002060"/>
          <w:sz w:val="21"/>
          <w:szCs w:val="21"/>
          <w:lang w:val="pl-PL"/>
        </w:rPr>
        <w:lastRenderedPageBreak/>
        <w:t>płatniczymi mogą polegać na partnerze, który posiada wszystkie niezbędne kompetencje i zapewnia najkrótszy czas wprowadzenia produktu na rynek.</w:t>
      </w:r>
    </w:p>
    <w:p w14:paraId="0178E6F9" w14:textId="77777777" w:rsidR="00283271" w:rsidRPr="00600B40" w:rsidRDefault="00283271" w:rsidP="000B304E">
      <w:pPr>
        <w:spacing w:before="0"/>
        <w:ind w:right="0"/>
        <w:rPr>
          <w:b/>
          <w:color w:val="002060"/>
          <w:sz w:val="21"/>
          <w:szCs w:val="21"/>
          <w:lang w:val="pl-PL"/>
        </w:rPr>
      </w:pPr>
    </w:p>
    <w:p w14:paraId="16419203" w14:textId="77777777" w:rsidR="000B304E" w:rsidRPr="00600B40" w:rsidRDefault="000B304E" w:rsidP="000B304E">
      <w:pPr>
        <w:spacing w:before="0"/>
        <w:ind w:right="0"/>
        <w:rPr>
          <w:color w:val="002060"/>
          <w:sz w:val="12"/>
          <w:szCs w:val="10"/>
          <w:lang w:val="pl-PL"/>
        </w:rPr>
      </w:pPr>
    </w:p>
    <w:tbl>
      <w:tblPr>
        <w:tblStyle w:val="Tabela-Siatka"/>
        <w:tblW w:w="0" w:type="auto"/>
        <w:tblBorders>
          <w:top w:val="single" w:sz="4" w:space="0" w:color="E4E8EA"/>
          <w:left w:val="single" w:sz="4" w:space="0" w:color="E4E8EA"/>
          <w:bottom w:val="single" w:sz="4" w:space="0" w:color="E4E8EA"/>
          <w:right w:val="single" w:sz="4" w:space="0" w:color="E4E8EA"/>
          <w:insideH w:val="single" w:sz="4" w:space="0" w:color="E4E8EA"/>
          <w:insideV w:val="single" w:sz="4" w:space="0" w:color="E4E8EA"/>
        </w:tblBorders>
        <w:shd w:val="clear" w:color="auto" w:fill="E4E8EA"/>
        <w:tblLook w:val="04A0" w:firstRow="1" w:lastRow="0" w:firstColumn="1" w:lastColumn="0" w:noHBand="0" w:noVBand="1"/>
      </w:tblPr>
      <w:tblGrid>
        <w:gridCol w:w="9017"/>
      </w:tblGrid>
      <w:tr w:rsidR="00600B40" w:rsidRPr="00600B40" w14:paraId="70CE6156" w14:textId="77777777" w:rsidTr="00971497">
        <w:tc>
          <w:tcPr>
            <w:tcW w:w="9180" w:type="dxa"/>
            <w:shd w:val="clear" w:color="auto" w:fill="E4E8EA"/>
          </w:tcPr>
          <w:p w14:paraId="6C8B2F5E" w14:textId="27E8DA8A" w:rsidR="000B304E" w:rsidRPr="00600B40" w:rsidRDefault="00F1018B" w:rsidP="00971497">
            <w:pPr>
              <w:pStyle w:val="TitreEncart"/>
              <w:numPr>
                <w:ilvl w:val="0"/>
                <w:numId w:val="0"/>
              </w:numPr>
              <w:spacing w:line="276" w:lineRule="auto"/>
              <w:ind w:right="0"/>
              <w:rPr>
                <w:color w:val="002060"/>
                <w:spacing w:val="-4"/>
                <w:sz w:val="24"/>
                <w:szCs w:val="24"/>
                <w:lang w:val="pl-PL"/>
              </w:rPr>
            </w:pPr>
            <w:r w:rsidRPr="00600B40">
              <w:rPr>
                <w:color w:val="002060"/>
                <w:sz w:val="24"/>
                <w:szCs w:val="24"/>
                <w:lang w:val="pl-PL"/>
              </w:rPr>
              <w:t xml:space="preserve">O firmie </w:t>
            </w:r>
            <w:proofErr w:type="spellStart"/>
            <w:r w:rsidR="000B304E" w:rsidRPr="00600B40">
              <w:rPr>
                <w:color w:val="002060"/>
                <w:sz w:val="24"/>
                <w:szCs w:val="24"/>
                <w:lang w:val="pl-PL"/>
              </w:rPr>
              <w:t>Thales</w:t>
            </w:r>
            <w:proofErr w:type="spellEnd"/>
            <w:r w:rsidR="000B304E" w:rsidRPr="00600B40">
              <w:rPr>
                <w:color w:val="002060"/>
                <w:sz w:val="24"/>
                <w:szCs w:val="24"/>
                <w:lang w:val="pl-PL"/>
              </w:rPr>
              <w:t xml:space="preserve"> </w:t>
            </w:r>
          </w:p>
          <w:p w14:paraId="7090BF0C" w14:textId="77777777" w:rsidR="000D22DB" w:rsidRPr="000D22DB" w:rsidRDefault="000D22DB" w:rsidP="000D22DB">
            <w:pPr>
              <w:pStyle w:val="A-Propos"/>
              <w:ind w:left="0" w:right="0"/>
              <w:rPr>
                <w:rFonts w:ascii="Calibri" w:hAnsi="Calibri"/>
                <w:color w:val="002060"/>
                <w:sz w:val="22"/>
                <w:lang w:val="pl-PL"/>
              </w:rPr>
            </w:pPr>
            <w:r w:rsidRPr="000D22DB">
              <w:rPr>
                <w:rFonts w:ascii="Calibri" w:hAnsi="Calibri"/>
                <w:color w:val="002060"/>
                <w:sz w:val="22"/>
                <w:lang w:val="pl-PL"/>
              </w:rPr>
              <w:t>Thales (Euronext Paris: HO) jest globalnym liderem technologicznym obsługującym rynki lotnicze, obronne oraz Digital Identity &amp; Security. Nasze rozwiązania pomagają uczynić świat bezpieczniejszym, bardziej ekologicznym i sprzyjającym integracji.</w:t>
            </w:r>
          </w:p>
          <w:p w14:paraId="5E9959E8" w14:textId="77777777" w:rsidR="000D22DB" w:rsidRPr="000D22DB" w:rsidRDefault="000D22DB" w:rsidP="000D22DB">
            <w:pPr>
              <w:pStyle w:val="A-Propos"/>
              <w:ind w:left="0" w:right="0"/>
              <w:rPr>
                <w:rFonts w:ascii="Calibri" w:hAnsi="Calibri"/>
                <w:color w:val="002060"/>
                <w:sz w:val="22"/>
                <w:lang w:val="pl-PL"/>
              </w:rPr>
            </w:pPr>
            <w:r w:rsidRPr="000D22DB">
              <w:rPr>
                <w:rFonts w:ascii="Calibri" w:hAnsi="Calibri"/>
                <w:color w:val="002060"/>
                <w:sz w:val="22"/>
                <w:lang w:val="pl-PL"/>
              </w:rPr>
              <w:t>Inwestujemy blisko 4 mld euro rocznie w badania i rozwój, napędzając innowacje w kluczowych obszarach, takich jak technologie kwantowe, architektury chmurowe, 6G i cyberbezpieczeństwo.</w:t>
            </w:r>
          </w:p>
          <w:p w14:paraId="738E5FAB" w14:textId="77777777" w:rsidR="000D22DB" w:rsidRPr="000D22DB" w:rsidRDefault="000D22DB" w:rsidP="000D22DB">
            <w:pPr>
              <w:pStyle w:val="A-Propos"/>
              <w:ind w:left="0" w:right="0"/>
              <w:rPr>
                <w:rFonts w:ascii="Calibri" w:hAnsi="Calibri"/>
                <w:color w:val="002060"/>
                <w:sz w:val="22"/>
                <w:lang w:val="pl-PL"/>
              </w:rPr>
            </w:pPr>
            <w:r w:rsidRPr="000D22DB">
              <w:rPr>
                <w:rFonts w:ascii="Calibri" w:hAnsi="Calibri"/>
                <w:color w:val="002060"/>
                <w:sz w:val="22"/>
                <w:lang w:val="pl-PL"/>
              </w:rPr>
              <w:t>Grupa zatrudnia 77 000 pracowników w 68 krajach W 2022 roku osiągnęła przychody w wysokości 17,6 mld euro w 2022 r.</w:t>
            </w:r>
          </w:p>
          <w:p w14:paraId="007A59A9" w14:textId="6AF282BA" w:rsidR="000B304E" w:rsidRPr="00600B40" w:rsidRDefault="000D22DB" w:rsidP="000D22DB">
            <w:pPr>
              <w:pStyle w:val="A-Propos"/>
              <w:ind w:left="0" w:right="0"/>
              <w:rPr>
                <w:rFonts w:ascii="Calibri" w:hAnsi="Calibri"/>
                <w:color w:val="002060"/>
                <w:sz w:val="22"/>
                <w:lang w:val="pl-PL"/>
              </w:rPr>
            </w:pPr>
            <w:r w:rsidRPr="000D22DB">
              <w:rPr>
                <w:rFonts w:ascii="Calibri" w:hAnsi="Calibri"/>
                <w:color w:val="002060"/>
                <w:sz w:val="22"/>
                <w:lang w:val="pl-PL"/>
              </w:rPr>
              <w:t>* Dane te nie obejmują działalności w zakresie transport lądowego, która jest przedmiotem zbycia</w:t>
            </w:r>
          </w:p>
        </w:tc>
      </w:tr>
    </w:tbl>
    <w:p w14:paraId="3879223F" w14:textId="77777777" w:rsidR="000B304E" w:rsidRPr="00600B40" w:rsidRDefault="000B304E" w:rsidP="000B304E">
      <w:pPr>
        <w:tabs>
          <w:tab w:val="left" w:pos="8789"/>
        </w:tabs>
        <w:ind w:right="0"/>
        <w:rPr>
          <w:rFonts w:asciiTheme="minorBidi" w:hAnsiTheme="minorBidi" w:cstheme="minorBidi"/>
          <w:bCs/>
          <w:caps/>
          <w:color w:val="002060"/>
          <w:spacing w:val="0"/>
          <w:sz w:val="28"/>
          <w:szCs w:val="36"/>
          <w:lang w:val="pl-PL"/>
        </w:rPr>
      </w:pPr>
      <w:r w:rsidRPr="00600B40">
        <w:rPr>
          <w:noProof/>
          <w:color w:val="002060"/>
          <w:sz w:val="28"/>
          <w:szCs w:val="24"/>
          <w:lang w:val="en-GB" w:eastAsia="en-GB"/>
        </w:rPr>
        <mc:AlternateContent>
          <mc:Choice Requires="wps">
            <w:drawing>
              <wp:anchor distT="0" distB="0" distL="114300" distR="114300" simplePos="0" relativeHeight="251661312" behindDoc="0" locked="0" layoutInCell="1" allowOverlap="1" wp14:anchorId="24B2F582" wp14:editId="00813D45">
                <wp:simplePos x="0" y="0"/>
                <wp:positionH relativeFrom="column">
                  <wp:posOffset>-78828</wp:posOffset>
                </wp:positionH>
                <wp:positionV relativeFrom="paragraph">
                  <wp:posOffset>210754</wp:posOffset>
                </wp:positionV>
                <wp:extent cx="5801711" cy="0"/>
                <wp:effectExtent l="0" t="19050" r="8890" b="19050"/>
                <wp:wrapNone/>
                <wp:docPr id="1" name="Connecteur droit 1"/>
                <wp:cNvGraphicFramePr/>
                <a:graphic xmlns:a="http://schemas.openxmlformats.org/drawingml/2006/main">
                  <a:graphicData uri="http://schemas.microsoft.com/office/word/2010/wordprocessingShape">
                    <wps:wsp>
                      <wps:cNvCnPr/>
                      <wps:spPr>
                        <a:xfrm>
                          <a:off x="0" y="0"/>
                          <a:ext cx="5801711" cy="0"/>
                        </a:xfrm>
                        <a:prstGeom prst="line">
                          <a:avLst/>
                        </a:prstGeom>
                        <a:ln w="28575">
                          <a:solidFill>
                            <a:srgbClr val="21265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E5F873" id="Connecteur droit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pt,16.6pt" to="450.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" strokecolor="#21265d" strokeweight="2.25pt">
                <v:stroke joinstyle="miter"/>
              </v:line>
            </w:pict>
          </mc:Fallback>
        </mc:AlternateContent>
      </w:r>
    </w:p>
    <w:p w14:paraId="1A238F99" w14:textId="64F267BC" w:rsidR="000B304E" w:rsidRPr="00600B40" w:rsidRDefault="000B304E" w:rsidP="000B304E">
      <w:pPr>
        <w:ind w:right="0"/>
        <w:rPr>
          <w:rFonts w:cs="Arial"/>
          <w:b/>
          <w:color w:val="002060"/>
          <w:lang w:val="en-CA"/>
        </w:rPr>
      </w:pPr>
      <w:r w:rsidRPr="00600B40">
        <w:rPr>
          <w:rFonts w:cs="Arial"/>
          <w:b/>
          <w:noProof/>
          <w:color w:val="002060"/>
          <w:lang w:val="en-GB" w:eastAsia="en-GB"/>
        </w:rPr>
        <mc:AlternateContent>
          <mc:Choice Requires="wps">
            <w:drawing>
              <wp:anchor distT="0" distB="0" distL="114300" distR="114300" simplePos="0" relativeHeight="251659264" behindDoc="0" locked="0" layoutInCell="1" allowOverlap="1" wp14:anchorId="791826A7" wp14:editId="2E8FC36A">
                <wp:simplePos x="0" y="0"/>
                <wp:positionH relativeFrom="column">
                  <wp:posOffset>3526046</wp:posOffset>
                </wp:positionH>
                <wp:positionV relativeFrom="paragraph">
                  <wp:posOffset>25400</wp:posOffset>
                </wp:positionV>
                <wp:extent cx="2315209" cy="1188084"/>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09" cy="1188084"/>
                        </a:xfrm>
                        <a:prstGeom prst="rect">
                          <a:avLst/>
                        </a:prstGeom>
                        <a:solidFill>
                          <a:srgbClr val="FFFFFF"/>
                        </a:solidFill>
                        <a:ln w="9525">
                          <a:noFill/>
                          <a:miter lim="800000"/>
                          <a:headEnd/>
                          <a:tailEnd/>
                        </a:ln>
                      </wps:spPr>
                      <wps:txbx>
                        <w:txbxContent>
                          <w:p w14:paraId="68997CE5" w14:textId="63A2B42B" w:rsidR="000B304E" w:rsidRPr="00EE74BD" w:rsidRDefault="008E4A6E" w:rsidP="000B304E">
                            <w:pPr>
                              <w:pStyle w:val="TitreEncart"/>
                              <w:numPr>
                                <w:ilvl w:val="0"/>
                                <w:numId w:val="0"/>
                              </w:numPr>
                              <w:tabs>
                                <w:tab w:val="left" w:pos="3119"/>
                              </w:tabs>
                              <w:spacing w:before="0" w:line="276" w:lineRule="auto"/>
                              <w:ind w:right="39"/>
                              <w:jc w:val="right"/>
                              <w:rPr>
                                <w:rFonts w:cs="Arial"/>
                                <w:bCs/>
                                <w:caps/>
                                <w:color w:val="21265D"/>
                                <w:sz w:val="24"/>
                                <w:szCs w:val="32"/>
                              </w:rPr>
                            </w:pPr>
                            <w:r w:rsidRPr="00EE74BD">
                              <w:rPr>
                                <w:rFonts w:cs="Arial"/>
                                <w:bCs/>
                                <w:caps/>
                                <w:color w:val="21265D"/>
                                <w:sz w:val="24"/>
                                <w:szCs w:val="32"/>
                              </w:rPr>
                              <w:t>ODWIEDŹ NAS NA</w:t>
                            </w:r>
                          </w:p>
                          <w:p w14:paraId="63594B2F" w14:textId="77777777" w:rsidR="000B304E" w:rsidRPr="00EE74BD" w:rsidRDefault="000B304E" w:rsidP="000B304E">
                            <w:pPr>
                              <w:spacing w:before="0"/>
                              <w:ind w:right="38"/>
                              <w:jc w:val="right"/>
                              <w:rPr>
                                <w:rFonts w:cs="Arial"/>
                                <w:spacing w:val="0"/>
                                <w:sz w:val="20"/>
                                <w:szCs w:val="20"/>
                                <w:u w:color="21265D"/>
                                <w:lang w:val="en-US"/>
                              </w:rPr>
                            </w:pPr>
                            <w:r w:rsidRPr="00EE74BD">
                              <w:rPr>
                                <w:rFonts w:cs="Arial"/>
                                <w:sz w:val="20"/>
                                <w:szCs w:val="20"/>
                                <w:lang w:val="en-US"/>
                              </w:rPr>
                              <w:t xml:space="preserve">  </w:t>
                            </w:r>
                            <w:hyperlink r:id="rId8" w:history="1">
                              <w:r w:rsidRPr="00EE74BD">
                                <w:rPr>
                                  <w:rStyle w:val="Hipercze"/>
                                  <w:rFonts w:cs="Arial"/>
                                  <w:spacing w:val="0"/>
                                  <w:sz w:val="20"/>
                                  <w:szCs w:val="20"/>
                                  <w:lang w:val="en-US"/>
                                </w:rPr>
                                <w:t>Thales Group</w:t>
                              </w:r>
                            </w:hyperlink>
                          </w:p>
                          <w:p w14:paraId="73A63CC9" w14:textId="77777777" w:rsidR="000B304E" w:rsidRPr="00AC42D9" w:rsidRDefault="00867353" w:rsidP="000B304E">
                            <w:pPr>
                              <w:tabs>
                                <w:tab w:val="left" w:pos="3119"/>
                              </w:tabs>
                              <w:spacing w:before="0"/>
                              <w:ind w:right="39"/>
                              <w:jc w:val="right"/>
                              <w:rPr>
                                <w:rFonts w:asciiTheme="minorBidi" w:hAnsiTheme="minorBidi" w:cstheme="minorBidi"/>
                                <w:color w:val="333366"/>
                                <w:spacing w:val="0"/>
                                <w:sz w:val="20"/>
                                <w:szCs w:val="20"/>
                                <w:u w:color="21265D"/>
                                <w:lang w:val="en-US"/>
                              </w:rPr>
                            </w:pPr>
                            <w:hyperlink r:id="rId9" w:history="1">
                              <w:r w:rsidR="000B304E" w:rsidRPr="005C384F">
                                <w:rPr>
                                  <w:rStyle w:val="Hipercze"/>
                                  <w:rFonts w:cs="Arial"/>
                                  <w:spacing w:val="0"/>
                                  <w:sz w:val="20"/>
                                  <w:szCs w:val="20"/>
                                  <w:lang w:val="en-US"/>
                                </w:rPr>
                                <w:t>Digital Identity &amp; Security</w:t>
                              </w:r>
                            </w:hyperlink>
                          </w:p>
                          <w:p w14:paraId="4B76EEBE" w14:textId="77777777" w:rsidR="000B304E" w:rsidRPr="00352736" w:rsidRDefault="000B304E" w:rsidP="000B304E">
                            <w:pPr>
                              <w:tabs>
                                <w:tab w:val="left" w:pos="3119"/>
                              </w:tabs>
                              <w:spacing w:before="0"/>
                              <w:ind w:right="39"/>
                              <w:jc w:val="right"/>
                              <w:rPr>
                                <w:rStyle w:val="Hipercze"/>
                                <w:rFonts w:asciiTheme="minorBidi" w:hAnsiTheme="minorBidi" w:cstheme="minorBidi"/>
                                <w:sz w:val="20"/>
                                <w:szCs w:val="20"/>
                                <w:lang w:val="en-US"/>
                              </w:rPr>
                            </w:pPr>
                            <w:r>
                              <w:rPr>
                                <w:rFonts w:asciiTheme="minorBidi" w:hAnsiTheme="minorBidi" w:cstheme="minorBidi"/>
                                <w:color w:val="333366"/>
                                <w:spacing w:val="0"/>
                                <w:sz w:val="20"/>
                                <w:szCs w:val="20"/>
                                <w:lang w:val="en-US"/>
                              </w:rPr>
                              <w:fldChar w:fldCharType="begin"/>
                            </w:r>
                            <w:r>
                              <w:rPr>
                                <w:rFonts w:asciiTheme="minorBidi" w:hAnsiTheme="minorBidi" w:cstheme="minorBidi"/>
                                <w:color w:val="333366"/>
                                <w:spacing w:val="0"/>
                                <w:sz w:val="20"/>
                                <w:szCs w:val="20"/>
                                <w:lang w:val="en-US"/>
                              </w:rPr>
                              <w:instrText xml:space="preserve"> HYPERLINK "https://www.thalesgroup.com/en/search-medias/hd-images" </w:instrText>
                            </w:r>
                            <w:r>
                              <w:rPr>
                                <w:rFonts w:asciiTheme="minorBidi" w:hAnsiTheme="minorBidi" w:cstheme="minorBidi"/>
                                <w:color w:val="333366"/>
                                <w:spacing w:val="0"/>
                                <w:sz w:val="20"/>
                                <w:szCs w:val="20"/>
                                <w:lang w:val="en-US"/>
                              </w:rPr>
                            </w:r>
                            <w:r>
                              <w:rPr>
                                <w:rFonts w:asciiTheme="minorBidi" w:hAnsiTheme="minorBidi" w:cstheme="minorBidi"/>
                                <w:color w:val="333366"/>
                                <w:spacing w:val="0"/>
                                <w:sz w:val="20"/>
                                <w:szCs w:val="20"/>
                                <w:lang w:val="en-US"/>
                              </w:rPr>
                              <w:fldChar w:fldCharType="separate"/>
                            </w:r>
                            <w:r w:rsidRPr="00352736">
                              <w:rPr>
                                <w:rStyle w:val="Hipercze"/>
                                <w:rFonts w:asciiTheme="minorBidi" w:hAnsiTheme="minorBidi" w:cstheme="minorBidi"/>
                                <w:spacing w:val="0"/>
                                <w:sz w:val="20"/>
                                <w:szCs w:val="20"/>
                                <w:lang w:val="en-US"/>
                              </w:rPr>
                              <w:t xml:space="preserve"> </w:t>
                            </w:r>
                          </w:p>
                          <w:p w14:paraId="2CB1D574" w14:textId="77777777" w:rsidR="000B304E" w:rsidRPr="00F51D73" w:rsidRDefault="000B304E" w:rsidP="000B304E">
                            <w:pPr>
                              <w:tabs>
                                <w:tab w:val="left" w:pos="3119"/>
                              </w:tabs>
                              <w:ind w:right="39"/>
                              <w:rPr>
                                <w:lang w:val="en-US"/>
                              </w:rPr>
                            </w:pPr>
                            <w:r>
                              <w:rPr>
                                <w:rFonts w:asciiTheme="minorBidi" w:hAnsiTheme="minorBidi" w:cstheme="minorBidi"/>
                                <w:color w:val="333366"/>
                                <w:spacing w:val="0"/>
                                <w:sz w:val="20"/>
                                <w:szCs w:val="20"/>
                                <w:lang w:val="en-US"/>
                              </w:rP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91826A7" id="_x0000_t202" coordsize="21600,21600" o:spt="202" path="m,l,21600r21600,l21600,xe">
                <v:stroke joinstyle="miter"/>
                <v:path gradientshapeok="t" o:connecttype="rect"/>
              </v:shapetype>
              <v:shape id="Zone de texte 2" o:spid="_x0000_s1026" type="#_x0000_t202" style="position:absolute;left:0;text-align:left;margin-left:277.65pt;margin-top:2pt;width:182.3pt;height:93.5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" stroked="f">
                <v:textbox>
                  <w:txbxContent>
                    <w:p w14:paraId="68997CE5" w14:textId="63A2B42B" w:rsidR="000B304E" w:rsidRPr="00EE74BD" w:rsidRDefault="008E4A6E" w:rsidP="000B304E">
                      <w:pPr>
                        <w:pStyle w:val="TitreEncart"/>
                        <w:numPr>
                          <w:ilvl w:val="0"/>
                          <w:numId w:val="0"/>
                        </w:numPr>
                        <w:tabs>
                          <w:tab w:val="left" w:pos="3119"/>
                        </w:tabs>
                        <w:spacing w:before="0" w:line="276" w:lineRule="auto"/>
                        <w:ind w:right="39"/>
                        <w:jc w:val="right"/>
                        <w:rPr>
                          <w:rFonts w:cs="Arial"/>
                          <w:bCs/>
                          <w:caps/>
                          <w:color w:val="21265D"/>
                          <w:sz w:val="24"/>
                          <w:szCs w:val="32"/>
                        </w:rPr>
                      </w:pPr>
                      <w:r w:rsidRPr="00EE74BD">
                        <w:rPr>
                          <w:rFonts w:cs="Arial"/>
                          <w:bCs/>
                          <w:caps/>
                          <w:color w:val="21265D"/>
                          <w:sz w:val="24"/>
                          <w:szCs w:val="32"/>
                        </w:rPr>
                        <w:t>ODWIEDŹ NAS NA</w:t>
                      </w:r>
                    </w:p>
                    <w:p w14:paraId="63594B2F" w14:textId="77777777" w:rsidR="000B304E" w:rsidRPr="00EE74BD" w:rsidRDefault="000B304E" w:rsidP="000B304E">
                      <w:pPr>
                        <w:spacing w:before="0"/>
                        <w:ind w:right="38"/>
                        <w:jc w:val="right"/>
                        <w:rPr>
                          <w:rFonts w:cs="Arial"/>
                          <w:spacing w:val="0"/>
                          <w:sz w:val="20"/>
                          <w:szCs w:val="20"/>
                          <w:u w:color="21265D"/>
                          <w:lang w:val="en-US"/>
                        </w:rPr>
                      </w:pPr>
                      <w:r w:rsidRPr="00EE74BD">
                        <w:rPr>
                          <w:rFonts w:cs="Arial"/>
                          <w:sz w:val="20"/>
                          <w:szCs w:val="20"/>
                          <w:lang w:val="en-US"/>
                        </w:rPr>
                        <w:t xml:space="preserve">  </w:t>
                      </w:r>
                      <w:hyperlink r:id="rId10" w:history="1">
                        <w:r w:rsidRPr="00EE74BD">
                          <w:rPr>
                            <w:rStyle w:val="Hipercze"/>
                            <w:rFonts w:cs="Arial"/>
                            <w:spacing w:val="0"/>
                            <w:sz w:val="20"/>
                            <w:szCs w:val="20"/>
                            <w:lang w:val="en-US"/>
                          </w:rPr>
                          <w:t>Thales Group</w:t>
                        </w:r>
                      </w:hyperlink>
                    </w:p>
                    <w:p w14:paraId="73A63CC9" w14:textId="77777777" w:rsidR="000B304E" w:rsidRPr="00AC42D9" w:rsidRDefault="00867353" w:rsidP="000B304E">
                      <w:pPr>
                        <w:tabs>
                          <w:tab w:val="left" w:pos="3119"/>
                        </w:tabs>
                        <w:spacing w:before="0"/>
                        <w:ind w:right="39"/>
                        <w:jc w:val="right"/>
                        <w:rPr>
                          <w:rFonts w:asciiTheme="minorBidi" w:hAnsiTheme="minorBidi" w:cstheme="minorBidi"/>
                          <w:color w:val="333366"/>
                          <w:spacing w:val="0"/>
                          <w:sz w:val="20"/>
                          <w:szCs w:val="20"/>
                          <w:u w:color="21265D"/>
                          <w:lang w:val="en-US"/>
                        </w:rPr>
                      </w:pPr>
                      <w:hyperlink r:id="rId11" w:history="1">
                        <w:r w:rsidR="000B304E" w:rsidRPr="005C384F">
                          <w:rPr>
                            <w:rStyle w:val="Hipercze"/>
                            <w:rFonts w:cs="Arial"/>
                            <w:spacing w:val="0"/>
                            <w:sz w:val="20"/>
                            <w:szCs w:val="20"/>
                            <w:lang w:val="en-US"/>
                          </w:rPr>
                          <w:t>Digital Identity &amp; Security</w:t>
                        </w:r>
                      </w:hyperlink>
                    </w:p>
                    <w:p w14:paraId="4B76EEBE" w14:textId="77777777" w:rsidR="000B304E" w:rsidRPr="00352736" w:rsidRDefault="000B304E" w:rsidP="000B304E">
                      <w:pPr>
                        <w:tabs>
                          <w:tab w:val="left" w:pos="3119"/>
                        </w:tabs>
                        <w:spacing w:before="0"/>
                        <w:ind w:right="39"/>
                        <w:jc w:val="right"/>
                        <w:rPr>
                          <w:rStyle w:val="Hipercze"/>
                          <w:rFonts w:asciiTheme="minorBidi" w:hAnsiTheme="minorBidi" w:cstheme="minorBidi"/>
                          <w:sz w:val="20"/>
                          <w:szCs w:val="20"/>
                          <w:lang w:val="en-US"/>
                        </w:rPr>
                      </w:pPr>
                      <w:r>
                        <w:rPr>
                          <w:rFonts w:asciiTheme="minorBidi" w:hAnsiTheme="minorBidi" w:cstheme="minorBidi"/>
                          <w:color w:val="333366"/>
                          <w:spacing w:val="0"/>
                          <w:sz w:val="20"/>
                          <w:szCs w:val="20"/>
                          <w:lang w:val="en-US"/>
                        </w:rPr>
                        <w:fldChar w:fldCharType="begin"/>
                      </w:r>
                      <w:r>
                        <w:rPr>
                          <w:rFonts w:asciiTheme="minorBidi" w:hAnsiTheme="minorBidi" w:cstheme="minorBidi"/>
                          <w:color w:val="333366"/>
                          <w:spacing w:val="0"/>
                          <w:sz w:val="20"/>
                          <w:szCs w:val="20"/>
                          <w:lang w:val="en-US"/>
                        </w:rPr>
                        <w:instrText xml:space="preserve"> HYPERLINK "https://www.thalesgroup.com/en/search-medias/hd-images" </w:instrText>
                      </w:r>
                      <w:r>
                        <w:rPr>
                          <w:rFonts w:asciiTheme="minorBidi" w:hAnsiTheme="minorBidi" w:cstheme="minorBidi"/>
                          <w:color w:val="333366"/>
                          <w:spacing w:val="0"/>
                          <w:sz w:val="20"/>
                          <w:szCs w:val="20"/>
                          <w:lang w:val="en-US"/>
                        </w:rPr>
                      </w:r>
                      <w:r>
                        <w:rPr>
                          <w:rFonts w:asciiTheme="minorBidi" w:hAnsiTheme="minorBidi" w:cstheme="minorBidi"/>
                          <w:color w:val="333366"/>
                          <w:spacing w:val="0"/>
                          <w:sz w:val="20"/>
                          <w:szCs w:val="20"/>
                          <w:lang w:val="en-US"/>
                        </w:rPr>
                        <w:fldChar w:fldCharType="separate"/>
                      </w:r>
                      <w:r w:rsidRPr="00352736">
                        <w:rPr>
                          <w:rStyle w:val="Hipercze"/>
                          <w:rFonts w:asciiTheme="minorBidi" w:hAnsiTheme="minorBidi" w:cstheme="minorBidi"/>
                          <w:spacing w:val="0"/>
                          <w:sz w:val="20"/>
                          <w:szCs w:val="20"/>
                          <w:lang w:val="en-US"/>
                        </w:rPr>
                        <w:t xml:space="preserve"> </w:t>
                      </w:r>
                    </w:p>
                    <w:p w14:paraId="2CB1D574" w14:textId="77777777" w:rsidR="000B304E" w:rsidRPr="00F51D73" w:rsidRDefault="000B304E" w:rsidP="000B304E">
                      <w:pPr>
                        <w:tabs>
                          <w:tab w:val="left" w:pos="3119"/>
                        </w:tabs>
                        <w:ind w:right="39"/>
                        <w:rPr>
                          <w:lang w:val="en-US"/>
                        </w:rPr>
                      </w:pPr>
                      <w:r>
                        <w:rPr>
                          <w:rFonts w:asciiTheme="minorBidi" w:hAnsiTheme="minorBidi" w:cstheme="minorBidi"/>
                          <w:color w:val="333366"/>
                          <w:spacing w:val="0"/>
                          <w:sz w:val="20"/>
                          <w:szCs w:val="20"/>
                          <w:lang w:val="en-US"/>
                        </w:rPr>
                        <w:fldChar w:fldCharType="end"/>
                      </w:r>
                    </w:p>
                  </w:txbxContent>
                </v:textbox>
              </v:shape>
            </w:pict>
          </mc:Fallback>
        </mc:AlternateContent>
      </w:r>
      <w:r w:rsidR="008E4A6E" w:rsidRPr="00600B40">
        <w:rPr>
          <w:rFonts w:cs="Arial"/>
          <w:b/>
          <w:caps/>
          <w:color w:val="002060"/>
          <w:spacing w:val="0"/>
          <w:szCs w:val="32"/>
          <w:lang w:val="en-CA"/>
        </w:rPr>
        <w:t>KONTAKT DLA MEDIÓW</w:t>
      </w:r>
    </w:p>
    <w:p w14:paraId="6148A9B6" w14:textId="77777777" w:rsidR="000B304E" w:rsidRPr="00600B40" w:rsidRDefault="000B304E" w:rsidP="000B304E">
      <w:pPr>
        <w:spacing w:before="0"/>
        <w:ind w:right="0"/>
        <w:rPr>
          <w:rFonts w:cs="Arial"/>
          <w:b/>
          <w:bCs/>
          <w:color w:val="002060"/>
          <w:spacing w:val="0"/>
          <w:sz w:val="10"/>
          <w:szCs w:val="10"/>
          <w:lang w:val="en-CA"/>
        </w:rPr>
      </w:pPr>
    </w:p>
    <w:p w14:paraId="26036855" w14:textId="77777777" w:rsidR="00864C39" w:rsidRPr="00864C39" w:rsidRDefault="00864C39" w:rsidP="00864C39">
      <w:pPr>
        <w:spacing w:before="0"/>
        <w:ind w:right="0"/>
        <w:rPr>
          <w:rFonts w:cs="Arial"/>
          <w:b/>
          <w:bCs/>
          <w:color w:val="333366"/>
          <w:spacing w:val="0"/>
          <w:sz w:val="20"/>
          <w:szCs w:val="20"/>
          <w:lang w:val="en-GB"/>
        </w:rPr>
      </w:pPr>
      <w:r w:rsidRPr="00864C39">
        <w:rPr>
          <w:rFonts w:cs="Arial"/>
          <w:b/>
          <w:bCs/>
          <w:color w:val="333366"/>
          <w:spacing w:val="0"/>
          <w:sz w:val="20"/>
          <w:szCs w:val="20"/>
          <w:lang w:val="en-GB"/>
        </w:rPr>
        <w:t xml:space="preserve">Thales, Northern &amp; Central Europe </w:t>
      </w:r>
    </w:p>
    <w:p w14:paraId="6BC6397A" w14:textId="1F52240E" w:rsidR="00864C39" w:rsidRPr="00864C39" w:rsidRDefault="00864C39" w:rsidP="00864C39">
      <w:pPr>
        <w:spacing w:before="0"/>
        <w:ind w:right="0"/>
        <w:rPr>
          <w:rFonts w:cs="Arial"/>
          <w:b/>
          <w:bCs/>
          <w:color w:val="333366"/>
          <w:spacing w:val="0"/>
          <w:sz w:val="20"/>
          <w:szCs w:val="20"/>
          <w:lang w:val="en-GB"/>
        </w:rPr>
      </w:pPr>
      <w:r w:rsidRPr="00864C39">
        <w:rPr>
          <w:rFonts w:cs="Arial"/>
          <w:b/>
          <w:bCs/>
          <w:color w:val="333366"/>
          <w:spacing w:val="0"/>
          <w:sz w:val="20"/>
          <w:szCs w:val="20"/>
          <w:lang w:val="en-GB"/>
        </w:rPr>
        <w:t>Communications Director</w:t>
      </w:r>
    </w:p>
    <w:p w14:paraId="2E97EACB" w14:textId="69EC25AF" w:rsidR="00864C39" w:rsidRPr="00864C39" w:rsidRDefault="005745EA" w:rsidP="00864C39">
      <w:pPr>
        <w:spacing w:before="0"/>
        <w:ind w:right="0"/>
        <w:rPr>
          <w:rFonts w:cs="Arial"/>
          <w:color w:val="333366"/>
          <w:spacing w:val="0"/>
          <w:sz w:val="20"/>
          <w:szCs w:val="20"/>
          <w:lang w:val="en-GB"/>
        </w:rPr>
      </w:pPr>
      <w:r w:rsidRPr="005C384F">
        <w:rPr>
          <w:rFonts w:cs="Arial"/>
          <w:noProof/>
          <w:lang w:val="en-GB" w:eastAsia="en-GB"/>
        </w:rPr>
        <w:drawing>
          <wp:anchor distT="0" distB="0" distL="114300" distR="114300" simplePos="0" relativeHeight="251663360" behindDoc="0" locked="0" layoutInCell="1" allowOverlap="1" wp14:anchorId="300CDF6A" wp14:editId="4B4C57FF">
            <wp:simplePos x="0" y="0"/>
            <wp:positionH relativeFrom="column">
              <wp:posOffset>4419600</wp:posOffset>
            </wp:positionH>
            <wp:positionV relativeFrom="paragraph">
              <wp:posOffset>100965</wp:posOffset>
            </wp:positionV>
            <wp:extent cx="1248410" cy="386715"/>
            <wp:effectExtent l="0" t="0" r="889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8410" cy="386715"/>
                    </a:xfrm>
                    <a:prstGeom prst="rect">
                      <a:avLst/>
                    </a:prstGeom>
                    <a:noFill/>
                  </pic:spPr>
                </pic:pic>
              </a:graphicData>
            </a:graphic>
            <wp14:sizeRelH relativeFrom="page">
              <wp14:pctWidth>0</wp14:pctWidth>
            </wp14:sizeRelH>
            <wp14:sizeRelV relativeFrom="page">
              <wp14:pctHeight>0</wp14:pctHeight>
            </wp14:sizeRelV>
          </wp:anchor>
        </w:drawing>
      </w:r>
      <w:r w:rsidR="00864C39" w:rsidRPr="00864C39">
        <w:rPr>
          <w:rFonts w:cs="Arial"/>
          <w:color w:val="333366"/>
          <w:spacing w:val="0"/>
          <w:sz w:val="20"/>
          <w:szCs w:val="20"/>
          <w:lang w:val="en-GB"/>
        </w:rPr>
        <w:t>Lynne Scott Walters</w:t>
      </w:r>
    </w:p>
    <w:p w14:paraId="15172FC3" w14:textId="77777777" w:rsidR="00864C39" w:rsidRPr="00864C39" w:rsidRDefault="00864C39" w:rsidP="00864C39">
      <w:pPr>
        <w:spacing w:before="0"/>
        <w:ind w:right="0"/>
        <w:rPr>
          <w:rFonts w:cs="Arial"/>
          <w:color w:val="333366"/>
          <w:spacing w:val="0"/>
          <w:sz w:val="20"/>
          <w:szCs w:val="20"/>
          <w:lang w:val="en-GB"/>
        </w:rPr>
      </w:pPr>
      <w:r w:rsidRPr="00864C39">
        <w:rPr>
          <w:rFonts w:cs="Arial"/>
          <w:color w:val="333366"/>
          <w:spacing w:val="0"/>
          <w:sz w:val="20"/>
          <w:szCs w:val="20"/>
          <w:lang w:val="en-GB"/>
        </w:rPr>
        <w:t>+4521191441</w:t>
      </w:r>
    </w:p>
    <w:p w14:paraId="3590004A" w14:textId="77777777" w:rsidR="00864C39" w:rsidRPr="00864C39" w:rsidRDefault="00867353" w:rsidP="00864C39">
      <w:pPr>
        <w:spacing w:before="0"/>
        <w:ind w:right="0"/>
        <w:rPr>
          <w:rFonts w:cs="Arial"/>
          <w:color w:val="21265D"/>
          <w:spacing w:val="0"/>
          <w:sz w:val="20"/>
          <w:szCs w:val="20"/>
          <w:u w:val="single" w:color="21265D"/>
          <w:lang w:val="en-GB"/>
        </w:rPr>
      </w:pPr>
      <w:hyperlink r:id="rId13" w:history="1">
        <w:r w:rsidR="00864C39" w:rsidRPr="00864C39">
          <w:rPr>
            <w:rFonts w:cs="Arial"/>
            <w:color w:val="21265D"/>
            <w:spacing w:val="0"/>
            <w:sz w:val="20"/>
            <w:szCs w:val="20"/>
            <w:u w:val="single" w:color="21265D"/>
            <w:lang w:val="en-GB"/>
          </w:rPr>
          <w:t>Lynne.Scott-WALTERS@thalesgroup.com</w:t>
        </w:r>
      </w:hyperlink>
    </w:p>
    <w:p w14:paraId="65C72A69" w14:textId="16C3BDFE" w:rsidR="00867353" w:rsidRPr="00600B40" w:rsidRDefault="00867353">
      <w:pPr>
        <w:rPr>
          <w:color w:val="002060"/>
          <w:lang w:val="es-ES"/>
        </w:rPr>
      </w:pPr>
    </w:p>
    <w:sectPr w:rsidR="0088339E" w:rsidRPr="00600B40" w:rsidSect="00820CE9">
      <w:headerReference w:type="default" r:id="rId14"/>
      <w:footerReference w:type="default" r:id="rId15"/>
      <w:pgSz w:w="11907" w:h="16839" w:code="9"/>
      <w:pgMar w:top="426" w:right="1440" w:bottom="1440" w:left="1440" w:header="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9C09D" w14:textId="77777777" w:rsidR="00317A8E" w:rsidRDefault="00317A8E">
      <w:pPr>
        <w:spacing w:before="0" w:line="240" w:lineRule="auto"/>
      </w:pPr>
      <w:r>
        <w:separator/>
      </w:r>
    </w:p>
  </w:endnote>
  <w:endnote w:type="continuationSeparator" w:id="0">
    <w:p w14:paraId="3E12E3E5" w14:textId="77777777" w:rsidR="00317A8E" w:rsidRDefault="00317A8E">
      <w:pPr>
        <w:spacing w:before="0" w:line="240" w:lineRule="auto"/>
      </w:pPr>
      <w:r>
        <w:continuationSeparator/>
      </w:r>
    </w:p>
  </w:endnote>
  <w:endnote w:id="1">
    <w:p w14:paraId="4EE8356F" w14:textId="77777777" w:rsidR="00C63CC2" w:rsidRDefault="00C63CC2" w:rsidP="002C58E9">
      <w:pPr>
        <w:pStyle w:val="Tekstprzypisukocowego"/>
        <w:jc w:val="left"/>
      </w:pPr>
      <w:r>
        <w:rPr>
          <w:rStyle w:val="Odwoanieprzypisukocowego"/>
        </w:rPr>
        <w:endnoteRef/>
      </w:r>
      <w:r>
        <w:t xml:space="preserve"> </w:t>
      </w:r>
      <w:hyperlink r:id="rId1" w:history="1">
        <w:r>
          <w:rPr>
            <w:rStyle w:val="Hipercze"/>
          </w:rPr>
          <w:t>The Growth of Premium Metal Cards (composecure.com)</w:t>
        </w:r>
      </w:hyperlink>
    </w:p>
  </w:endnote>
  <w:endnote w:id="2">
    <w:p w14:paraId="2D9A974B" w14:textId="46828FA1" w:rsidR="00600B40" w:rsidRDefault="00600B40" w:rsidP="002C58E9">
      <w:pPr>
        <w:pStyle w:val="Tekstprzypisukocowego"/>
        <w:jc w:val="left"/>
      </w:pPr>
      <w:r>
        <w:rPr>
          <w:rStyle w:val="Odwoanieprzypisukocowego"/>
        </w:rPr>
        <w:endnoteRef/>
      </w:r>
      <w:r w:rsidR="002C58E9">
        <w:t xml:space="preserve"> </w:t>
      </w:r>
      <w:hyperlink r:id="rId2" w:history="1">
        <w:r w:rsidR="004D1089" w:rsidRPr="00B653FF">
          <w:rPr>
            <w:rStyle w:val="Hipercze"/>
          </w:rPr>
          <w:t>https://www.abiresearch.com/press/metal-payment-card-shipments-exceed-90-million-units-2025-market-continues-its-significant-growth-trajectory/</w:t>
        </w:r>
      </w:hyperlink>
      <w:r w:rsidR="004D1089">
        <w:t xml:space="preserve"> </w:t>
      </w:r>
    </w:p>
  </w:endnote>
  <w:endnote w:id="3">
    <w:p w14:paraId="1EAAD192" w14:textId="77777777" w:rsidR="00600B40" w:rsidRDefault="00600B40" w:rsidP="002C58E9">
      <w:pPr>
        <w:pStyle w:val="Tekstprzypisukocowego"/>
        <w:jc w:val="left"/>
      </w:pPr>
      <w:r>
        <w:rPr>
          <w:rStyle w:val="Odwoanieprzypisukocowego"/>
        </w:rPr>
        <w:endnoteRef/>
      </w:r>
      <w:r>
        <w:t xml:space="preserve"> </w:t>
      </w:r>
      <w:hyperlink r:id="rId3" w:history="1">
        <w:r w:rsidRPr="00F61147">
          <w:rPr>
            <w:rStyle w:val="Hipercze"/>
          </w:rPr>
          <w:t>https://www.paymentscardsandmobile.com/metal-payment-cards-give-financial-institutions-a-competitive-edge/</w:t>
        </w:r>
      </w:hyperlink>
    </w:p>
    <w:p w14:paraId="1A367FCB" w14:textId="77777777" w:rsidR="00600B40" w:rsidRDefault="00600B40" w:rsidP="00600B40">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Black">
    <w:altName w:val="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2DC4" w14:textId="77777777" w:rsidR="00867353" w:rsidRDefault="000B304E" w:rsidP="007C3403">
    <w:pPr>
      <w:pStyle w:val="Stopka"/>
    </w:pPr>
    <w:r>
      <w:rPr>
        <w:noProof/>
        <w:lang w:val="en-GB" w:eastAsia="en-GB"/>
      </w:rPr>
      <mc:AlternateContent>
        <mc:Choice Requires="wps">
          <w:drawing>
            <wp:anchor distT="0" distB="0" distL="114300" distR="114300" simplePos="0" relativeHeight="251659264" behindDoc="0" locked="0" layoutInCell="1" allowOverlap="1" wp14:anchorId="013ECE88" wp14:editId="6185E470">
              <wp:simplePos x="0" y="0"/>
              <wp:positionH relativeFrom="column">
                <wp:posOffset>-31898</wp:posOffset>
              </wp:positionH>
              <wp:positionV relativeFrom="paragraph">
                <wp:posOffset>76289</wp:posOffset>
              </wp:positionV>
              <wp:extent cx="5602620" cy="0"/>
              <wp:effectExtent l="0" t="19050" r="17145" b="19050"/>
              <wp:wrapNone/>
              <wp:docPr id="3" name="Connecteur droit 3"/>
              <wp:cNvGraphicFramePr/>
              <a:graphic xmlns:a="http://schemas.openxmlformats.org/drawingml/2006/main">
                <a:graphicData uri="http://schemas.microsoft.com/office/word/2010/wordprocessingShape">
                  <wps:wsp>
                    <wps:cNvCnPr/>
                    <wps:spPr>
                      <a:xfrm>
                        <a:off x="0" y="0"/>
                        <a:ext cx="5602620" cy="0"/>
                      </a:xfrm>
                      <a:prstGeom prst="line">
                        <a:avLst/>
                      </a:prstGeom>
                      <a:ln w="28575">
                        <a:solidFill>
                          <a:srgbClr val="21265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2F5D68" id="Connecteur droit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6pt" to="438.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" strokecolor="#21265d" strokeweight="2.25pt">
              <v:stroke joinstyle="miter"/>
            </v:line>
          </w:pict>
        </mc:Fallback>
      </mc:AlternateContent>
    </w:r>
  </w:p>
  <w:p w14:paraId="0C5691AC" w14:textId="77777777" w:rsidR="00867353" w:rsidRPr="007C3403" w:rsidRDefault="000B304E" w:rsidP="007C3403">
    <w:pPr>
      <w:pStyle w:val="Stopka"/>
      <w:tabs>
        <w:tab w:val="clear" w:pos="4536"/>
        <w:tab w:val="clear" w:pos="9072"/>
      </w:tabs>
      <w:spacing w:before="120" w:line="235" w:lineRule="auto"/>
      <w:jc w:val="left"/>
      <w:rPr>
        <w:rFonts w:cs="Arial"/>
        <w:b/>
        <w:color w:val="7C8D97"/>
        <w:sz w:val="18"/>
      </w:rPr>
    </w:pPr>
    <w:r w:rsidRPr="007C3403">
      <w:rPr>
        <w:rFonts w:cs="Arial"/>
        <w:b/>
        <w:color w:val="7C8D97"/>
        <w:sz w:val="18"/>
      </w:rPr>
      <w:t>GROUP COMMUNICATIONS – Thales - Tour Carpe Diem - 31 Place des Corolles - 92098 Paris La Défense Cedex - France – Tel.: +33(0)1 57 77 86 26 - www.thalesgroup.com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672C0" w14:textId="77777777" w:rsidR="00317A8E" w:rsidRDefault="00317A8E">
      <w:pPr>
        <w:spacing w:before="0" w:line="240" w:lineRule="auto"/>
      </w:pPr>
      <w:r>
        <w:separator/>
      </w:r>
    </w:p>
  </w:footnote>
  <w:footnote w:type="continuationSeparator" w:id="0">
    <w:p w14:paraId="17066E26" w14:textId="77777777" w:rsidR="00317A8E" w:rsidRDefault="00317A8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ABF0" w14:textId="77777777" w:rsidR="00867353" w:rsidRDefault="00867353" w:rsidP="00EE2420">
    <w:pPr>
      <w:pStyle w:val="Nagwek"/>
      <w:ind w:right="-45"/>
      <w:jc w:val="left"/>
    </w:pPr>
  </w:p>
  <w:tbl>
    <w:tblPr>
      <w:tblStyle w:val="Tabela-Siatka"/>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061"/>
    </w:tblGrid>
    <w:tr w:rsidR="00671B25" w:rsidRPr="00597745" w14:paraId="46459579" w14:textId="77777777" w:rsidTr="00081077">
      <w:trPr>
        <w:trHeight w:val="920"/>
      </w:trPr>
      <w:tc>
        <w:tcPr>
          <w:tcW w:w="5295" w:type="dxa"/>
        </w:tcPr>
        <w:p w14:paraId="5E49EB3B" w14:textId="77777777" w:rsidR="00867353" w:rsidRDefault="000B304E" w:rsidP="00081077">
          <w:pPr>
            <w:pStyle w:val="Nagwek"/>
          </w:pPr>
          <w:r>
            <w:rPr>
              <w:rFonts w:asciiTheme="minorBidi" w:hAnsiTheme="minorBidi" w:cstheme="minorBidi"/>
              <w:caps/>
              <w:noProof/>
              <w:color w:val="21265D"/>
              <w:spacing w:val="0"/>
              <w:sz w:val="18"/>
              <w:lang w:val="en-GB" w:eastAsia="en-GB"/>
            </w:rPr>
            <w:drawing>
              <wp:inline distT="0" distB="0" distL="0" distR="0" wp14:anchorId="088A1CCE" wp14:editId="357FC1E9">
                <wp:extent cx="2162175" cy="812462"/>
                <wp:effectExtent l="0" t="0" r="0"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les Logo RGB - Purpose 2020.jpg"/>
                        <pic:cNvPicPr/>
                      </pic:nvPicPr>
                      <pic:blipFill>
                        <a:blip r:embed="rId1">
                          <a:extLst>
                            <a:ext uri="{28A0092B-C50C-407E-A947-70E740481C1C}">
                              <a14:useLocalDpi xmlns:a14="http://schemas.microsoft.com/office/drawing/2010/main" val="0"/>
                            </a:ext>
                          </a:extLst>
                        </a:blip>
                        <a:stretch>
                          <a:fillRect/>
                        </a:stretch>
                      </pic:blipFill>
                      <pic:spPr>
                        <a:xfrm>
                          <a:off x="0" y="0"/>
                          <a:ext cx="2171750" cy="816060"/>
                        </a:xfrm>
                        <a:prstGeom prst="rect">
                          <a:avLst/>
                        </a:prstGeom>
                      </pic:spPr>
                    </pic:pic>
                  </a:graphicData>
                </a:graphic>
              </wp:inline>
            </w:drawing>
          </w:r>
        </w:p>
      </w:tc>
      <w:tc>
        <w:tcPr>
          <w:tcW w:w="4061" w:type="dxa"/>
        </w:tcPr>
        <w:p w14:paraId="54D2167E" w14:textId="77777777" w:rsidR="00867353" w:rsidRDefault="00867353" w:rsidP="00081077">
          <w:pPr>
            <w:pStyle w:val="Nagwek"/>
            <w:tabs>
              <w:tab w:val="clear" w:pos="4536"/>
              <w:tab w:val="center" w:pos="4915"/>
            </w:tabs>
            <w:spacing w:line="276" w:lineRule="auto"/>
            <w:ind w:right="0"/>
            <w:jc w:val="right"/>
            <w:rPr>
              <w:b/>
              <w:bCs/>
              <w:color w:val="00B0F0"/>
              <w:lang w:val="en-US"/>
            </w:rPr>
          </w:pPr>
        </w:p>
        <w:p w14:paraId="657C4C15" w14:textId="77777777" w:rsidR="006F27B8" w:rsidRDefault="00940DD7" w:rsidP="00081077">
          <w:pPr>
            <w:pStyle w:val="Nagwek"/>
            <w:tabs>
              <w:tab w:val="clear" w:pos="4536"/>
              <w:tab w:val="center" w:pos="3781"/>
              <w:tab w:val="left" w:pos="3815"/>
            </w:tabs>
            <w:spacing w:line="276" w:lineRule="auto"/>
            <w:ind w:right="0"/>
            <w:jc w:val="right"/>
            <w:rPr>
              <w:b/>
              <w:bCs/>
              <w:color w:val="21265D"/>
            </w:rPr>
          </w:pPr>
          <w:r>
            <w:rPr>
              <w:b/>
              <w:bCs/>
              <w:color w:val="21265D"/>
            </w:rPr>
            <w:t>INFORMACJA PRASOWA</w:t>
          </w:r>
        </w:p>
        <w:p w14:paraId="47D556C2" w14:textId="4C60BCE8" w:rsidR="00867353" w:rsidRPr="0015242F" w:rsidRDefault="00867353" w:rsidP="00081077">
          <w:pPr>
            <w:pStyle w:val="Nagwek"/>
            <w:tabs>
              <w:tab w:val="clear" w:pos="4536"/>
              <w:tab w:val="center" w:pos="3781"/>
              <w:tab w:val="left" w:pos="3815"/>
            </w:tabs>
            <w:spacing w:line="276" w:lineRule="auto"/>
            <w:ind w:right="0"/>
            <w:jc w:val="right"/>
            <w:rPr>
              <w:color w:val="002060"/>
              <w:sz w:val="22"/>
            </w:rPr>
          </w:pPr>
          <w:r>
            <w:rPr>
              <w:color w:val="002060"/>
              <w:sz w:val="22"/>
            </w:rPr>
            <w:t>30</w:t>
          </w:r>
          <w:r w:rsidR="006F27B8" w:rsidRPr="006F27B8">
            <w:rPr>
              <w:color w:val="002060"/>
              <w:sz w:val="22"/>
            </w:rPr>
            <w:t xml:space="preserve"> </w:t>
          </w:r>
          <w:proofErr w:type="spellStart"/>
          <w:r w:rsidR="006F27B8" w:rsidRPr="006F27B8">
            <w:rPr>
              <w:color w:val="002060"/>
              <w:sz w:val="22"/>
            </w:rPr>
            <w:t>stycznia</w:t>
          </w:r>
          <w:proofErr w:type="spellEnd"/>
          <w:r w:rsidR="00940DD7">
            <w:rPr>
              <w:color w:val="002060"/>
              <w:sz w:val="22"/>
            </w:rPr>
            <w:t xml:space="preserve"> </w:t>
          </w:r>
          <w:r w:rsidR="000B304E">
            <w:rPr>
              <w:color w:val="002060"/>
              <w:sz w:val="22"/>
            </w:rPr>
            <w:t>202</w:t>
          </w:r>
          <w:r w:rsidR="00EB1213">
            <w:rPr>
              <w:color w:val="002060"/>
              <w:sz w:val="22"/>
            </w:rPr>
            <w:t>4</w:t>
          </w:r>
        </w:p>
        <w:p w14:paraId="5E6E3DCC" w14:textId="13587663" w:rsidR="00867353" w:rsidRPr="0015242F" w:rsidRDefault="00940DD7" w:rsidP="00081077">
          <w:pPr>
            <w:pStyle w:val="Nagwek"/>
            <w:tabs>
              <w:tab w:val="clear" w:pos="4536"/>
              <w:tab w:val="center" w:pos="3781"/>
            </w:tabs>
            <w:spacing w:line="276" w:lineRule="auto"/>
            <w:ind w:right="0"/>
            <w:jc w:val="right"/>
          </w:pPr>
          <w:r>
            <w:rPr>
              <w:color w:val="002060"/>
              <w:sz w:val="22"/>
            </w:rPr>
            <w:t>Warszawa</w:t>
          </w:r>
        </w:p>
      </w:tc>
    </w:tr>
  </w:tbl>
  <w:p w14:paraId="76841F0A" w14:textId="77777777" w:rsidR="00867353" w:rsidRPr="0015242F" w:rsidRDefault="00867353" w:rsidP="00820CE9">
    <w:pPr>
      <w:pStyle w:val="Nagwek"/>
      <w:ind w:hanging="85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60pt" o:bullet="t">
        <v:imagedata r:id="rId1" o:title="Fleche-BleuDark"/>
      </v:shape>
    </w:pict>
  </w:numPicBullet>
  <w:abstractNum w:abstractNumId="0" w15:restartNumberingAfterBreak="0">
    <w:nsid w:val="17B1225A"/>
    <w:multiLevelType w:val="hybridMultilevel"/>
    <w:tmpl w:val="1D92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847F3"/>
    <w:multiLevelType w:val="multilevel"/>
    <w:tmpl w:val="0ECC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03D08"/>
    <w:multiLevelType w:val="hybridMultilevel"/>
    <w:tmpl w:val="93E4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673DF"/>
    <w:multiLevelType w:val="hybridMultilevel"/>
    <w:tmpl w:val="CB2E34AC"/>
    <w:lvl w:ilvl="0" w:tplc="3628019C">
      <w:start w:val="1"/>
      <w:numFmt w:val="bullet"/>
      <w:pStyle w:val="TitreEncart"/>
      <w:lvlText w:val=""/>
      <w:lvlPicBulletId w:val="0"/>
      <w:lvlJc w:val="left"/>
      <w:pPr>
        <w:ind w:left="397" w:hanging="284"/>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4C8D13AD"/>
    <w:multiLevelType w:val="hybridMultilevel"/>
    <w:tmpl w:val="F1AAAC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09015CF"/>
    <w:multiLevelType w:val="hybridMultilevel"/>
    <w:tmpl w:val="3FBA2A58"/>
    <w:lvl w:ilvl="0" w:tplc="B6B2596A">
      <w:start w:val="1"/>
      <w:numFmt w:val="decimal"/>
      <w:lvlText w:val="%1."/>
      <w:lvlJc w:val="left"/>
      <w:pPr>
        <w:ind w:left="360" w:hanging="360"/>
      </w:pPr>
      <w:rPr>
        <w:rFonts w:hint="default"/>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2C42911"/>
    <w:multiLevelType w:val="hybridMultilevel"/>
    <w:tmpl w:val="763AF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19462020">
    <w:abstractNumId w:val="3"/>
  </w:num>
  <w:num w:numId="2" w16cid:durableId="946037248">
    <w:abstractNumId w:val="4"/>
  </w:num>
  <w:num w:numId="3" w16cid:durableId="1574006936">
    <w:abstractNumId w:val="6"/>
  </w:num>
  <w:num w:numId="4" w16cid:durableId="1265115519">
    <w:abstractNumId w:val="5"/>
  </w:num>
  <w:num w:numId="5" w16cid:durableId="1518942">
    <w:abstractNumId w:val="0"/>
  </w:num>
  <w:num w:numId="6" w16cid:durableId="2075733631">
    <w:abstractNumId w:val="2"/>
  </w:num>
  <w:num w:numId="7" w16cid:durableId="270015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s-ES" w:vendorID="64" w:dllVersion="6" w:nlCheck="1" w:checkStyle="0"/>
  <w:activeWritingStyle w:appName="MSWord" w:lang="pl-PL" w:vendorID="64" w:dllVersion="0" w:nlCheck="1" w:checkStyle="0"/>
  <w:activeWritingStyle w:appName="MSWord" w:lang="en-CA"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4E"/>
    <w:rsid w:val="000047B8"/>
    <w:rsid w:val="00006F29"/>
    <w:rsid w:val="0002190A"/>
    <w:rsid w:val="00023CFB"/>
    <w:rsid w:val="00026F4C"/>
    <w:rsid w:val="0003290A"/>
    <w:rsid w:val="00036435"/>
    <w:rsid w:val="00036CAC"/>
    <w:rsid w:val="000430B2"/>
    <w:rsid w:val="000512BF"/>
    <w:rsid w:val="00060870"/>
    <w:rsid w:val="00062D3C"/>
    <w:rsid w:val="00070DB3"/>
    <w:rsid w:val="000776CA"/>
    <w:rsid w:val="00080055"/>
    <w:rsid w:val="0008068A"/>
    <w:rsid w:val="00084D8E"/>
    <w:rsid w:val="00093C58"/>
    <w:rsid w:val="00097B30"/>
    <w:rsid w:val="000A3CE7"/>
    <w:rsid w:val="000B304E"/>
    <w:rsid w:val="000B3159"/>
    <w:rsid w:val="000B618B"/>
    <w:rsid w:val="000B7481"/>
    <w:rsid w:val="000C0BE5"/>
    <w:rsid w:val="000C17D3"/>
    <w:rsid w:val="000D22DB"/>
    <w:rsid w:val="000D6DD7"/>
    <w:rsid w:val="000E67FE"/>
    <w:rsid w:val="000F622A"/>
    <w:rsid w:val="0010021B"/>
    <w:rsid w:val="001040A2"/>
    <w:rsid w:val="001046A7"/>
    <w:rsid w:val="00105372"/>
    <w:rsid w:val="001230A1"/>
    <w:rsid w:val="0013342C"/>
    <w:rsid w:val="001414D9"/>
    <w:rsid w:val="00143415"/>
    <w:rsid w:val="00155460"/>
    <w:rsid w:val="001732B6"/>
    <w:rsid w:val="0017570F"/>
    <w:rsid w:val="00180865"/>
    <w:rsid w:val="001A3DA8"/>
    <w:rsid w:val="001A3FEA"/>
    <w:rsid w:val="001B6722"/>
    <w:rsid w:val="001D220C"/>
    <w:rsid w:val="001D2B29"/>
    <w:rsid w:val="001D2B72"/>
    <w:rsid w:val="001E7BC5"/>
    <w:rsid w:val="00204261"/>
    <w:rsid w:val="00206824"/>
    <w:rsid w:val="00207257"/>
    <w:rsid w:val="00220941"/>
    <w:rsid w:val="0022256F"/>
    <w:rsid w:val="002233A1"/>
    <w:rsid w:val="00235B8E"/>
    <w:rsid w:val="00241327"/>
    <w:rsid w:val="00250336"/>
    <w:rsid w:val="00252289"/>
    <w:rsid w:val="0025795D"/>
    <w:rsid w:val="00267132"/>
    <w:rsid w:val="002734FF"/>
    <w:rsid w:val="002737AA"/>
    <w:rsid w:val="0028043B"/>
    <w:rsid w:val="00280F1D"/>
    <w:rsid w:val="00283271"/>
    <w:rsid w:val="00285560"/>
    <w:rsid w:val="00290295"/>
    <w:rsid w:val="00291588"/>
    <w:rsid w:val="002A278A"/>
    <w:rsid w:val="002A3B4D"/>
    <w:rsid w:val="002B1158"/>
    <w:rsid w:val="002C488B"/>
    <w:rsid w:val="002C58E9"/>
    <w:rsid w:val="002C67B1"/>
    <w:rsid w:val="002C73C5"/>
    <w:rsid w:val="002D3865"/>
    <w:rsid w:val="002E5CDC"/>
    <w:rsid w:val="002E64C3"/>
    <w:rsid w:val="002F55BB"/>
    <w:rsid w:val="00301478"/>
    <w:rsid w:val="003078D8"/>
    <w:rsid w:val="00316882"/>
    <w:rsid w:val="00317A8E"/>
    <w:rsid w:val="003231F8"/>
    <w:rsid w:val="003274F2"/>
    <w:rsid w:val="003352E6"/>
    <w:rsid w:val="00335AFB"/>
    <w:rsid w:val="00337373"/>
    <w:rsid w:val="00350171"/>
    <w:rsid w:val="00360975"/>
    <w:rsid w:val="00371155"/>
    <w:rsid w:val="0037364C"/>
    <w:rsid w:val="00380715"/>
    <w:rsid w:val="003814DA"/>
    <w:rsid w:val="00394339"/>
    <w:rsid w:val="0039577C"/>
    <w:rsid w:val="003B32F7"/>
    <w:rsid w:val="003B53A6"/>
    <w:rsid w:val="003B585B"/>
    <w:rsid w:val="003D1DE9"/>
    <w:rsid w:val="003E5AA2"/>
    <w:rsid w:val="00410111"/>
    <w:rsid w:val="00410F32"/>
    <w:rsid w:val="00416426"/>
    <w:rsid w:val="00437C0E"/>
    <w:rsid w:val="00440066"/>
    <w:rsid w:val="00443971"/>
    <w:rsid w:val="00443E86"/>
    <w:rsid w:val="004450BE"/>
    <w:rsid w:val="00455F39"/>
    <w:rsid w:val="00480020"/>
    <w:rsid w:val="00482C43"/>
    <w:rsid w:val="004943E4"/>
    <w:rsid w:val="00497C5B"/>
    <w:rsid w:val="004A291A"/>
    <w:rsid w:val="004C55BE"/>
    <w:rsid w:val="004D1089"/>
    <w:rsid w:val="004D2AFD"/>
    <w:rsid w:val="004D2CB9"/>
    <w:rsid w:val="004E7C5A"/>
    <w:rsid w:val="004F38C8"/>
    <w:rsid w:val="00501761"/>
    <w:rsid w:val="00505B1A"/>
    <w:rsid w:val="005102F8"/>
    <w:rsid w:val="00520C63"/>
    <w:rsid w:val="00534449"/>
    <w:rsid w:val="00534F98"/>
    <w:rsid w:val="005656A4"/>
    <w:rsid w:val="005745EA"/>
    <w:rsid w:val="00581202"/>
    <w:rsid w:val="005823A4"/>
    <w:rsid w:val="00594527"/>
    <w:rsid w:val="00595DF5"/>
    <w:rsid w:val="005B07C6"/>
    <w:rsid w:val="005B52FC"/>
    <w:rsid w:val="005C0487"/>
    <w:rsid w:val="005C0A76"/>
    <w:rsid w:val="005C0B3F"/>
    <w:rsid w:val="005C384F"/>
    <w:rsid w:val="005D32DE"/>
    <w:rsid w:val="005D4C99"/>
    <w:rsid w:val="005F0D8D"/>
    <w:rsid w:val="005F6145"/>
    <w:rsid w:val="00600B40"/>
    <w:rsid w:val="0060147B"/>
    <w:rsid w:val="00615F1F"/>
    <w:rsid w:val="00634500"/>
    <w:rsid w:val="006373B2"/>
    <w:rsid w:val="00640F7A"/>
    <w:rsid w:val="00643FBB"/>
    <w:rsid w:val="0064430C"/>
    <w:rsid w:val="00654401"/>
    <w:rsid w:val="00657B2F"/>
    <w:rsid w:val="0069489A"/>
    <w:rsid w:val="00695D78"/>
    <w:rsid w:val="006A65BE"/>
    <w:rsid w:val="006B3046"/>
    <w:rsid w:val="006B643B"/>
    <w:rsid w:val="006B7FC2"/>
    <w:rsid w:val="006C5E9F"/>
    <w:rsid w:val="006C7C5B"/>
    <w:rsid w:val="006D1223"/>
    <w:rsid w:val="006D1314"/>
    <w:rsid w:val="006D602B"/>
    <w:rsid w:val="006F130D"/>
    <w:rsid w:val="006F27B8"/>
    <w:rsid w:val="006F4114"/>
    <w:rsid w:val="0070414C"/>
    <w:rsid w:val="00715698"/>
    <w:rsid w:val="00720CE6"/>
    <w:rsid w:val="00723FC3"/>
    <w:rsid w:val="00730875"/>
    <w:rsid w:val="00741939"/>
    <w:rsid w:val="00741F49"/>
    <w:rsid w:val="007433BD"/>
    <w:rsid w:val="007452E7"/>
    <w:rsid w:val="00750F04"/>
    <w:rsid w:val="007517B2"/>
    <w:rsid w:val="007541C5"/>
    <w:rsid w:val="00763198"/>
    <w:rsid w:val="00764C92"/>
    <w:rsid w:val="00764ECF"/>
    <w:rsid w:val="0077157A"/>
    <w:rsid w:val="00772FEE"/>
    <w:rsid w:val="007841C9"/>
    <w:rsid w:val="00794A4C"/>
    <w:rsid w:val="00794DCB"/>
    <w:rsid w:val="007A271B"/>
    <w:rsid w:val="007B036B"/>
    <w:rsid w:val="007B2059"/>
    <w:rsid w:val="007B5908"/>
    <w:rsid w:val="007C1916"/>
    <w:rsid w:val="007C712E"/>
    <w:rsid w:val="007D19EA"/>
    <w:rsid w:val="007F7870"/>
    <w:rsid w:val="0080143C"/>
    <w:rsid w:val="00810478"/>
    <w:rsid w:val="00811917"/>
    <w:rsid w:val="008123C5"/>
    <w:rsid w:val="00823EE9"/>
    <w:rsid w:val="00824C6D"/>
    <w:rsid w:val="0082505F"/>
    <w:rsid w:val="008373A9"/>
    <w:rsid w:val="00844CF7"/>
    <w:rsid w:val="008460AF"/>
    <w:rsid w:val="00846C8E"/>
    <w:rsid w:val="00847304"/>
    <w:rsid w:val="00850DAE"/>
    <w:rsid w:val="00853E8F"/>
    <w:rsid w:val="00854275"/>
    <w:rsid w:val="00860332"/>
    <w:rsid w:val="008618E7"/>
    <w:rsid w:val="00864C39"/>
    <w:rsid w:val="00864E04"/>
    <w:rsid w:val="00867353"/>
    <w:rsid w:val="0087238D"/>
    <w:rsid w:val="008773DD"/>
    <w:rsid w:val="00890236"/>
    <w:rsid w:val="00891114"/>
    <w:rsid w:val="008959BF"/>
    <w:rsid w:val="0089775D"/>
    <w:rsid w:val="008A5CF7"/>
    <w:rsid w:val="008A78BA"/>
    <w:rsid w:val="008B42A6"/>
    <w:rsid w:val="008C761B"/>
    <w:rsid w:val="008D3703"/>
    <w:rsid w:val="008D5078"/>
    <w:rsid w:val="008D6EED"/>
    <w:rsid w:val="008E4A6E"/>
    <w:rsid w:val="008F2872"/>
    <w:rsid w:val="00905C21"/>
    <w:rsid w:val="00906C49"/>
    <w:rsid w:val="0092094E"/>
    <w:rsid w:val="00935271"/>
    <w:rsid w:val="00940DD7"/>
    <w:rsid w:val="00945892"/>
    <w:rsid w:val="00947703"/>
    <w:rsid w:val="00952428"/>
    <w:rsid w:val="009635C5"/>
    <w:rsid w:val="009708A4"/>
    <w:rsid w:val="00982D72"/>
    <w:rsid w:val="009A37EB"/>
    <w:rsid w:val="009A462F"/>
    <w:rsid w:val="009B56ED"/>
    <w:rsid w:val="009D0208"/>
    <w:rsid w:val="009E2982"/>
    <w:rsid w:val="009E4F7B"/>
    <w:rsid w:val="009E7684"/>
    <w:rsid w:val="009F7AD7"/>
    <w:rsid w:val="00A07C1C"/>
    <w:rsid w:val="00A13748"/>
    <w:rsid w:val="00A14161"/>
    <w:rsid w:val="00A150F9"/>
    <w:rsid w:val="00A224FC"/>
    <w:rsid w:val="00A37B2A"/>
    <w:rsid w:val="00A438C9"/>
    <w:rsid w:val="00A47D1E"/>
    <w:rsid w:val="00A50E2C"/>
    <w:rsid w:val="00A51A5C"/>
    <w:rsid w:val="00A71EA1"/>
    <w:rsid w:val="00A76199"/>
    <w:rsid w:val="00A91607"/>
    <w:rsid w:val="00A942E2"/>
    <w:rsid w:val="00A952DA"/>
    <w:rsid w:val="00A96A55"/>
    <w:rsid w:val="00AA02D9"/>
    <w:rsid w:val="00AA3133"/>
    <w:rsid w:val="00AB0767"/>
    <w:rsid w:val="00AB6A46"/>
    <w:rsid w:val="00AC154D"/>
    <w:rsid w:val="00AC4DBB"/>
    <w:rsid w:val="00AF45C2"/>
    <w:rsid w:val="00B000E7"/>
    <w:rsid w:val="00B02656"/>
    <w:rsid w:val="00B02FA8"/>
    <w:rsid w:val="00B05E3F"/>
    <w:rsid w:val="00B122FA"/>
    <w:rsid w:val="00B1362A"/>
    <w:rsid w:val="00B209A3"/>
    <w:rsid w:val="00B22E48"/>
    <w:rsid w:val="00B233CE"/>
    <w:rsid w:val="00B23DEC"/>
    <w:rsid w:val="00B24DD3"/>
    <w:rsid w:val="00B24F7B"/>
    <w:rsid w:val="00B3334C"/>
    <w:rsid w:val="00B336D0"/>
    <w:rsid w:val="00B35B9B"/>
    <w:rsid w:val="00B4245B"/>
    <w:rsid w:val="00B45068"/>
    <w:rsid w:val="00B453F0"/>
    <w:rsid w:val="00B46708"/>
    <w:rsid w:val="00B46BC2"/>
    <w:rsid w:val="00B51ACF"/>
    <w:rsid w:val="00B54283"/>
    <w:rsid w:val="00B542DD"/>
    <w:rsid w:val="00B5646B"/>
    <w:rsid w:val="00B63CD5"/>
    <w:rsid w:val="00B653FF"/>
    <w:rsid w:val="00B65D5A"/>
    <w:rsid w:val="00B669B0"/>
    <w:rsid w:val="00B70584"/>
    <w:rsid w:val="00B715C4"/>
    <w:rsid w:val="00B84200"/>
    <w:rsid w:val="00BB19DF"/>
    <w:rsid w:val="00BB5E90"/>
    <w:rsid w:val="00BC3958"/>
    <w:rsid w:val="00BD4516"/>
    <w:rsid w:val="00C05DD1"/>
    <w:rsid w:val="00C0683C"/>
    <w:rsid w:val="00C13E87"/>
    <w:rsid w:val="00C14AC4"/>
    <w:rsid w:val="00C20537"/>
    <w:rsid w:val="00C26B4C"/>
    <w:rsid w:val="00C3592D"/>
    <w:rsid w:val="00C36DEF"/>
    <w:rsid w:val="00C4367D"/>
    <w:rsid w:val="00C53000"/>
    <w:rsid w:val="00C57092"/>
    <w:rsid w:val="00C63776"/>
    <w:rsid w:val="00C63CC2"/>
    <w:rsid w:val="00C71A1E"/>
    <w:rsid w:val="00C82BA2"/>
    <w:rsid w:val="00C902AF"/>
    <w:rsid w:val="00C929CE"/>
    <w:rsid w:val="00C9507B"/>
    <w:rsid w:val="00C96CCF"/>
    <w:rsid w:val="00CA3DCA"/>
    <w:rsid w:val="00CB5AFE"/>
    <w:rsid w:val="00CC3445"/>
    <w:rsid w:val="00CD3050"/>
    <w:rsid w:val="00CE1D9F"/>
    <w:rsid w:val="00CE5445"/>
    <w:rsid w:val="00CF0F68"/>
    <w:rsid w:val="00CF1C0D"/>
    <w:rsid w:val="00CF2BB3"/>
    <w:rsid w:val="00D06239"/>
    <w:rsid w:val="00D22AF2"/>
    <w:rsid w:val="00D3332B"/>
    <w:rsid w:val="00D33DFD"/>
    <w:rsid w:val="00D414B9"/>
    <w:rsid w:val="00D522B5"/>
    <w:rsid w:val="00D53914"/>
    <w:rsid w:val="00D5439C"/>
    <w:rsid w:val="00D55A99"/>
    <w:rsid w:val="00D67420"/>
    <w:rsid w:val="00D76FD3"/>
    <w:rsid w:val="00D904C3"/>
    <w:rsid w:val="00DA0490"/>
    <w:rsid w:val="00DA2A6E"/>
    <w:rsid w:val="00DA5AE0"/>
    <w:rsid w:val="00DC27A3"/>
    <w:rsid w:val="00DC52CD"/>
    <w:rsid w:val="00DD5A27"/>
    <w:rsid w:val="00DD7639"/>
    <w:rsid w:val="00DE1218"/>
    <w:rsid w:val="00DE7A5F"/>
    <w:rsid w:val="00DF112B"/>
    <w:rsid w:val="00DF1885"/>
    <w:rsid w:val="00DF2DDF"/>
    <w:rsid w:val="00DF5971"/>
    <w:rsid w:val="00DF63FB"/>
    <w:rsid w:val="00E01C80"/>
    <w:rsid w:val="00E074B5"/>
    <w:rsid w:val="00E1165A"/>
    <w:rsid w:val="00E21BAB"/>
    <w:rsid w:val="00E27D92"/>
    <w:rsid w:val="00E354E5"/>
    <w:rsid w:val="00E42896"/>
    <w:rsid w:val="00E5066A"/>
    <w:rsid w:val="00E61532"/>
    <w:rsid w:val="00E67236"/>
    <w:rsid w:val="00E843F0"/>
    <w:rsid w:val="00E9786E"/>
    <w:rsid w:val="00EA5048"/>
    <w:rsid w:val="00EA6102"/>
    <w:rsid w:val="00EA6218"/>
    <w:rsid w:val="00EB1213"/>
    <w:rsid w:val="00EC6174"/>
    <w:rsid w:val="00ED4C71"/>
    <w:rsid w:val="00ED5E29"/>
    <w:rsid w:val="00EE2C15"/>
    <w:rsid w:val="00EE6795"/>
    <w:rsid w:val="00EE74BD"/>
    <w:rsid w:val="00EF6430"/>
    <w:rsid w:val="00EF6D93"/>
    <w:rsid w:val="00F0227A"/>
    <w:rsid w:val="00F06910"/>
    <w:rsid w:val="00F07D24"/>
    <w:rsid w:val="00F1018B"/>
    <w:rsid w:val="00F17601"/>
    <w:rsid w:val="00F3533E"/>
    <w:rsid w:val="00F46776"/>
    <w:rsid w:val="00F574C8"/>
    <w:rsid w:val="00F76C17"/>
    <w:rsid w:val="00FA687A"/>
    <w:rsid w:val="00FB4DB2"/>
    <w:rsid w:val="00FD66B3"/>
    <w:rsid w:val="00FE450C"/>
    <w:rsid w:val="00FE669B"/>
    <w:rsid w:val="00FE7FC8"/>
    <w:rsid w:val="00FF31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0F78C1D"/>
  <w15:chartTrackingRefBased/>
  <w15:docId w15:val="{484FA448-8F6C-47AE-BE77-F19728BC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304E"/>
    <w:pPr>
      <w:spacing w:before="120" w:after="0" w:line="276" w:lineRule="auto"/>
      <w:ind w:right="227"/>
      <w:jc w:val="both"/>
    </w:pPr>
    <w:rPr>
      <w:rFonts w:ascii="Arial" w:eastAsia="Calibri" w:hAnsi="Arial" w:cs="Times New Roman"/>
      <w:color w:val="000000" w:themeColor="text1"/>
      <w:spacing w:val="-4"/>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qFormat/>
    <w:rsid w:val="000B304E"/>
    <w:rPr>
      <w:color w:val="21265D"/>
      <w:sz w:val="17"/>
      <w:szCs w:val="18"/>
      <w:u w:val="single" w:color="21265D"/>
    </w:rPr>
  </w:style>
  <w:style w:type="paragraph" w:styleId="Nagwek">
    <w:name w:val="header"/>
    <w:basedOn w:val="Normalny"/>
    <w:link w:val="NagwekZnak"/>
    <w:uiPriority w:val="99"/>
    <w:unhideWhenUsed/>
    <w:rsid w:val="000B304E"/>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0B304E"/>
    <w:rPr>
      <w:rFonts w:ascii="Arial" w:eastAsia="Calibri" w:hAnsi="Arial" w:cs="Times New Roman"/>
      <w:color w:val="000000" w:themeColor="text1"/>
      <w:spacing w:val="-4"/>
      <w:sz w:val="24"/>
    </w:rPr>
  </w:style>
  <w:style w:type="paragraph" w:styleId="Stopka">
    <w:name w:val="footer"/>
    <w:basedOn w:val="Normalny"/>
    <w:link w:val="StopkaZnak"/>
    <w:uiPriority w:val="99"/>
    <w:unhideWhenUsed/>
    <w:rsid w:val="000B304E"/>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0B304E"/>
    <w:rPr>
      <w:rFonts w:ascii="Arial" w:eastAsia="Calibri" w:hAnsi="Arial" w:cs="Times New Roman"/>
      <w:color w:val="000000" w:themeColor="text1"/>
      <w:spacing w:val="-4"/>
      <w:sz w:val="24"/>
    </w:rPr>
  </w:style>
  <w:style w:type="paragraph" w:styleId="Akapitzlist">
    <w:name w:val="List Paragraph"/>
    <w:basedOn w:val="Normalny"/>
    <w:uiPriority w:val="34"/>
    <w:qFormat/>
    <w:rsid w:val="000B304E"/>
    <w:pPr>
      <w:ind w:left="720"/>
      <w:contextualSpacing/>
    </w:pPr>
  </w:style>
  <w:style w:type="paragraph" w:customStyle="1" w:styleId="TitreEncart">
    <w:name w:val="Titre Encart"/>
    <w:basedOn w:val="Normalny"/>
    <w:next w:val="Normalny"/>
    <w:qFormat/>
    <w:rsid w:val="000B304E"/>
    <w:pPr>
      <w:numPr>
        <w:numId w:val="1"/>
      </w:numPr>
      <w:spacing w:before="240" w:after="120" w:line="240" w:lineRule="auto"/>
      <w:ind w:right="198"/>
    </w:pPr>
    <w:rPr>
      <w:rFonts w:cs="Calibri"/>
      <w:b/>
      <w:color w:val="333366"/>
      <w:spacing w:val="0"/>
      <w:sz w:val="26"/>
      <w:szCs w:val="26"/>
      <w:lang w:val="en-US"/>
    </w:rPr>
  </w:style>
  <w:style w:type="table" w:styleId="Tabela-Siatka">
    <w:name w:val="Table Grid"/>
    <w:basedOn w:val="Standardowy"/>
    <w:uiPriority w:val="59"/>
    <w:rsid w:val="000B304E"/>
    <w:pPr>
      <w:spacing w:after="0" w:line="240" w:lineRule="auto"/>
    </w:pPr>
    <w:rPr>
      <w:rFonts w:ascii="Calibri" w:eastAsia="Calibri" w:hAnsi="Calibri"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ropos">
    <w:name w:val="A-Propos"/>
    <w:qFormat/>
    <w:rsid w:val="000B304E"/>
    <w:pPr>
      <w:spacing w:after="120" w:line="260" w:lineRule="exact"/>
      <w:ind w:left="113" w:right="198"/>
      <w:jc w:val="both"/>
    </w:pPr>
    <w:rPr>
      <w:rFonts w:ascii="Arial" w:eastAsia="Calibri" w:hAnsi="Arial" w:cs="Times New Roman"/>
      <w:noProof/>
      <w:color w:val="21265D"/>
      <w:sz w:val="20"/>
      <w:lang w:val="en-US" w:eastAsia="fr-FR"/>
    </w:rPr>
  </w:style>
  <w:style w:type="character" w:styleId="Odwoaniedokomentarza">
    <w:name w:val="annotation reference"/>
    <w:basedOn w:val="Domylnaczcionkaakapitu"/>
    <w:uiPriority w:val="99"/>
    <w:semiHidden/>
    <w:unhideWhenUsed/>
    <w:rsid w:val="004D2CB9"/>
    <w:rPr>
      <w:sz w:val="16"/>
      <w:szCs w:val="16"/>
    </w:rPr>
  </w:style>
  <w:style w:type="paragraph" w:styleId="Tekstkomentarza">
    <w:name w:val="annotation text"/>
    <w:basedOn w:val="Normalny"/>
    <w:link w:val="TekstkomentarzaZnak"/>
    <w:uiPriority w:val="99"/>
    <w:unhideWhenUsed/>
    <w:rsid w:val="004D2CB9"/>
    <w:pPr>
      <w:spacing w:line="240" w:lineRule="auto"/>
    </w:pPr>
    <w:rPr>
      <w:sz w:val="20"/>
      <w:szCs w:val="20"/>
    </w:rPr>
  </w:style>
  <w:style w:type="character" w:customStyle="1" w:styleId="TekstkomentarzaZnak">
    <w:name w:val="Tekst komentarza Znak"/>
    <w:basedOn w:val="Domylnaczcionkaakapitu"/>
    <w:link w:val="Tekstkomentarza"/>
    <w:uiPriority w:val="99"/>
    <w:rsid w:val="004D2CB9"/>
    <w:rPr>
      <w:rFonts w:ascii="Arial" w:eastAsia="Calibri" w:hAnsi="Arial" w:cs="Times New Roman"/>
      <w:color w:val="000000" w:themeColor="text1"/>
      <w:spacing w:val="-4"/>
      <w:sz w:val="20"/>
      <w:szCs w:val="20"/>
    </w:rPr>
  </w:style>
  <w:style w:type="paragraph" w:styleId="Tematkomentarza">
    <w:name w:val="annotation subject"/>
    <w:basedOn w:val="Tekstkomentarza"/>
    <w:next w:val="Tekstkomentarza"/>
    <w:link w:val="TematkomentarzaZnak"/>
    <w:uiPriority w:val="99"/>
    <w:semiHidden/>
    <w:unhideWhenUsed/>
    <w:rsid w:val="004D2CB9"/>
    <w:rPr>
      <w:b/>
      <w:bCs/>
    </w:rPr>
  </w:style>
  <w:style w:type="character" w:customStyle="1" w:styleId="TematkomentarzaZnak">
    <w:name w:val="Temat komentarza Znak"/>
    <w:basedOn w:val="TekstkomentarzaZnak"/>
    <w:link w:val="Tematkomentarza"/>
    <w:uiPriority w:val="99"/>
    <w:semiHidden/>
    <w:rsid w:val="004D2CB9"/>
    <w:rPr>
      <w:rFonts w:ascii="Arial" w:eastAsia="Calibri" w:hAnsi="Arial" w:cs="Times New Roman"/>
      <w:b/>
      <w:bCs/>
      <w:color w:val="000000" w:themeColor="text1"/>
      <w:spacing w:val="-4"/>
      <w:sz w:val="20"/>
      <w:szCs w:val="20"/>
    </w:rPr>
  </w:style>
  <w:style w:type="paragraph" w:styleId="Tekstdymka">
    <w:name w:val="Balloon Text"/>
    <w:basedOn w:val="Normalny"/>
    <w:link w:val="TekstdymkaZnak"/>
    <w:uiPriority w:val="99"/>
    <w:semiHidden/>
    <w:unhideWhenUsed/>
    <w:rsid w:val="004D2CB9"/>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2CB9"/>
    <w:rPr>
      <w:rFonts w:ascii="Segoe UI" w:eastAsia="Calibri" w:hAnsi="Segoe UI" w:cs="Segoe UI"/>
      <w:color w:val="000000" w:themeColor="text1"/>
      <w:spacing w:val="-4"/>
      <w:sz w:val="18"/>
      <w:szCs w:val="18"/>
    </w:rPr>
  </w:style>
  <w:style w:type="character" w:styleId="UyteHipercze">
    <w:name w:val="FollowedHyperlink"/>
    <w:basedOn w:val="Domylnaczcionkaakapitu"/>
    <w:uiPriority w:val="99"/>
    <w:semiHidden/>
    <w:unhideWhenUsed/>
    <w:rsid w:val="00B70584"/>
    <w:rPr>
      <w:color w:val="954F72" w:themeColor="followedHyperlink"/>
      <w:u w:val="single"/>
    </w:rPr>
  </w:style>
  <w:style w:type="paragraph" w:styleId="NormalnyWeb">
    <w:name w:val="Normal (Web)"/>
    <w:basedOn w:val="Normalny"/>
    <w:uiPriority w:val="99"/>
    <w:semiHidden/>
    <w:unhideWhenUsed/>
    <w:rsid w:val="00036CAC"/>
    <w:pPr>
      <w:spacing w:before="100" w:beforeAutospacing="1" w:after="100" w:afterAutospacing="1" w:line="240" w:lineRule="auto"/>
      <w:ind w:right="0"/>
      <w:jc w:val="left"/>
    </w:pPr>
    <w:rPr>
      <w:rFonts w:ascii="Times New Roman" w:eastAsia="Times New Roman" w:hAnsi="Times New Roman"/>
      <w:color w:val="auto"/>
      <w:spacing w:val="0"/>
      <w:szCs w:val="24"/>
      <w:lang w:val="en-US"/>
    </w:rPr>
  </w:style>
  <w:style w:type="paragraph" w:styleId="HTML-wstpniesformatowany">
    <w:name w:val="HTML Preformatted"/>
    <w:basedOn w:val="Normalny"/>
    <w:link w:val="HTML-wstpniesformatowanyZnak"/>
    <w:uiPriority w:val="99"/>
    <w:semiHidden/>
    <w:unhideWhenUsed/>
    <w:rsid w:val="00410111"/>
    <w:pPr>
      <w:spacing w:before="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410111"/>
    <w:rPr>
      <w:rFonts w:ascii="Consolas" w:eastAsia="Calibri" w:hAnsi="Consolas" w:cs="Times New Roman"/>
      <w:color w:val="000000" w:themeColor="text1"/>
      <w:spacing w:val="-4"/>
      <w:sz w:val="20"/>
      <w:szCs w:val="20"/>
    </w:rPr>
  </w:style>
  <w:style w:type="paragraph" w:styleId="Tekstprzypisukocowego">
    <w:name w:val="endnote text"/>
    <w:basedOn w:val="Normalny"/>
    <w:link w:val="TekstprzypisukocowegoZnak"/>
    <w:uiPriority w:val="99"/>
    <w:semiHidden/>
    <w:unhideWhenUsed/>
    <w:rsid w:val="003B32F7"/>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32F7"/>
    <w:rPr>
      <w:rFonts w:ascii="Arial" w:eastAsia="Calibri" w:hAnsi="Arial" w:cs="Times New Roman"/>
      <w:color w:val="000000" w:themeColor="text1"/>
      <w:spacing w:val="-4"/>
      <w:sz w:val="20"/>
      <w:szCs w:val="20"/>
    </w:rPr>
  </w:style>
  <w:style w:type="character" w:styleId="Odwoanieprzypisukocowego">
    <w:name w:val="endnote reference"/>
    <w:basedOn w:val="Domylnaczcionkaakapitu"/>
    <w:uiPriority w:val="99"/>
    <w:semiHidden/>
    <w:unhideWhenUsed/>
    <w:rsid w:val="003B32F7"/>
    <w:rPr>
      <w:vertAlign w:val="superscript"/>
    </w:rPr>
  </w:style>
  <w:style w:type="character" w:customStyle="1" w:styleId="ui-provider">
    <w:name w:val="ui-provider"/>
    <w:basedOn w:val="Domylnaczcionkaakapitu"/>
    <w:rsid w:val="00600B40"/>
  </w:style>
  <w:style w:type="character" w:styleId="Nierozpoznanawzmianka">
    <w:name w:val="Unresolved Mention"/>
    <w:basedOn w:val="Domylnaczcionkaakapitu"/>
    <w:uiPriority w:val="99"/>
    <w:semiHidden/>
    <w:unhideWhenUsed/>
    <w:rsid w:val="004D1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2134">
      <w:bodyDiv w:val="1"/>
      <w:marLeft w:val="0"/>
      <w:marRight w:val="0"/>
      <w:marTop w:val="0"/>
      <w:marBottom w:val="0"/>
      <w:divBdr>
        <w:top w:val="none" w:sz="0" w:space="0" w:color="auto"/>
        <w:left w:val="none" w:sz="0" w:space="0" w:color="auto"/>
        <w:bottom w:val="none" w:sz="0" w:space="0" w:color="auto"/>
        <w:right w:val="none" w:sz="0" w:space="0" w:color="auto"/>
      </w:divBdr>
    </w:div>
    <w:div w:id="153375856">
      <w:bodyDiv w:val="1"/>
      <w:marLeft w:val="0"/>
      <w:marRight w:val="0"/>
      <w:marTop w:val="0"/>
      <w:marBottom w:val="0"/>
      <w:divBdr>
        <w:top w:val="none" w:sz="0" w:space="0" w:color="auto"/>
        <w:left w:val="none" w:sz="0" w:space="0" w:color="auto"/>
        <w:bottom w:val="none" w:sz="0" w:space="0" w:color="auto"/>
        <w:right w:val="none" w:sz="0" w:space="0" w:color="auto"/>
      </w:divBdr>
    </w:div>
    <w:div w:id="179703520">
      <w:bodyDiv w:val="1"/>
      <w:marLeft w:val="0"/>
      <w:marRight w:val="0"/>
      <w:marTop w:val="0"/>
      <w:marBottom w:val="0"/>
      <w:divBdr>
        <w:top w:val="none" w:sz="0" w:space="0" w:color="auto"/>
        <w:left w:val="none" w:sz="0" w:space="0" w:color="auto"/>
        <w:bottom w:val="none" w:sz="0" w:space="0" w:color="auto"/>
        <w:right w:val="none" w:sz="0" w:space="0" w:color="auto"/>
      </w:divBdr>
    </w:div>
    <w:div w:id="298582950">
      <w:bodyDiv w:val="1"/>
      <w:marLeft w:val="0"/>
      <w:marRight w:val="0"/>
      <w:marTop w:val="0"/>
      <w:marBottom w:val="0"/>
      <w:divBdr>
        <w:top w:val="none" w:sz="0" w:space="0" w:color="auto"/>
        <w:left w:val="none" w:sz="0" w:space="0" w:color="auto"/>
        <w:bottom w:val="none" w:sz="0" w:space="0" w:color="auto"/>
        <w:right w:val="none" w:sz="0" w:space="0" w:color="auto"/>
      </w:divBdr>
    </w:div>
    <w:div w:id="431248587">
      <w:bodyDiv w:val="1"/>
      <w:marLeft w:val="0"/>
      <w:marRight w:val="0"/>
      <w:marTop w:val="0"/>
      <w:marBottom w:val="0"/>
      <w:divBdr>
        <w:top w:val="none" w:sz="0" w:space="0" w:color="auto"/>
        <w:left w:val="none" w:sz="0" w:space="0" w:color="auto"/>
        <w:bottom w:val="none" w:sz="0" w:space="0" w:color="auto"/>
        <w:right w:val="none" w:sz="0" w:space="0" w:color="auto"/>
      </w:divBdr>
    </w:div>
    <w:div w:id="535312436">
      <w:bodyDiv w:val="1"/>
      <w:marLeft w:val="0"/>
      <w:marRight w:val="0"/>
      <w:marTop w:val="0"/>
      <w:marBottom w:val="0"/>
      <w:divBdr>
        <w:top w:val="none" w:sz="0" w:space="0" w:color="auto"/>
        <w:left w:val="none" w:sz="0" w:space="0" w:color="auto"/>
        <w:bottom w:val="none" w:sz="0" w:space="0" w:color="auto"/>
        <w:right w:val="none" w:sz="0" w:space="0" w:color="auto"/>
      </w:divBdr>
    </w:div>
    <w:div w:id="546767733">
      <w:bodyDiv w:val="1"/>
      <w:marLeft w:val="0"/>
      <w:marRight w:val="0"/>
      <w:marTop w:val="0"/>
      <w:marBottom w:val="0"/>
      <w:divBdr>
        <w:top w:val="none" w:sz="0" w:space="0" w:color="auto"/>
        <w:left w:val="none" w:sz="0" w:space="0" w:color="auto"/>
        <w:bottom w:val="none" w:sz="0" w:space="0" w:color="auto"/>
        <w:right w:val="none" w:sz="0" w:space="0" w:color="auto"/>
      </w:divBdr>
    </w:div>
    <w:div w:id="590161160">
      <w:bodyDiv w:val="1"/>
      <w:marLeft w:val="0"/>
      <w:marRight w:val="0"/>
      <w:marTop w:val="0"/>
      <w:marBottom w:val="0"/>
      <w:divBdr>
        <w:top w:val="none" w:sz="0" w:space="0" w:color="auto"/>
        <w:left w:val="none" w:sz="0" w:space="0" w:color="auto"/>
        <w:bottom w:val="none" w:sz="0" w:space="0" w:color="auto"/>
        <w:right w:val="none" w:sz="0" w:space="0" w:color="auto"/>
      </w:divBdr>
    </w:div>
    <w:div w:id="711537776">
      <w:bodyDiv w:val="1"/>
      <w:marLeft w:val="0"/>
      <w:marRight w:val="0"/>
      <w:marTop w:val="0"/>
      <w:marBottom w:val="0"/>
      <w:divBdr>
        <w:top w:val="none" w:sz="0" w:space="0" w:color="auto"/>
        <w:left w:val="none" w:sz="0" w:space="0" w:color="auto"/>
        <w:bottom w:val="none" w:sz="0" w:space="0" w:color="auto"/>
        <w:right w:val="none" w:sz="0" w:space="0" w:color="auto"/>
      </w:divBdr>
    </w:div>
    <w:div w:id="793015670">
      <w:bodyDiv w:val="1"/>
      <w:marLeft w:val="0"/>
      <w:marRight w:val="0"/>
      <w:marTop w:val="0"/>
      <w:marBottom w:val="0"/>
      <w:divBdr>
        <w:top w:val="none" w:sz="0" w:space="0" w:color="auto"/>
        <w:left w:val="none" w:sz="0" w:space="0" w:color="auto"/>
        <w:bottom w:val="none" w:sz="0" w:space="0" w:color="auto"/>
        <w:right w:val="none" w:sz="0" w:space="0" w:color="auto"/>
      </w:divBdr>
    </w:div>
    <w:div w:id="942566956">
      <w:bodyDiv w:val="1"/>
      <w:marLeft w:val="0"/>
      <w:marRight w:val="0"/>
      <w:marTop w:val="0"/>
      <w:marBottom w:val="0"/>
      <w:divBdr>
        <w:top w:val="none" w:sz="0" w:space="0" w:color="auto"/>
        <w:left w:val="none" w:sz="0" w:space="0" w:color="auto"/>
        <w:bottom w:val="none" w:sz="0" w:space="0" w:color="auto"/>
        <w:right w:val="none" w:sz="0" w:space="0" w:color="auto"/>
      </w:divBdr>
    </w:div>
    <w:div w:id="944116178">
      <w:bodyDiv w:val="1"/>
      <w:marLeft w:val="0"/>
      <w:marRight w:val="0"/>
      <w:marTop w:val="0"/>
      <w:marBottom w:val="0"/>
      <w:divBdr>
        <w:top w:val="none" w:sz="0" w:space="0" w:color="auto"/>
        <w:left w:val="none" w:sz="0" w:space="0" w:color="auto"/>
        <w:bottom w:val="none" w:sz="0" w:space="0" w:color="auto"/>
        <w:right w:val="none" w:sz="0" w:space="0" w:color="auto"/>
      </w:divBdr>
    </w:div>
    <w:div w:id="1397358679">
      <w:bodyDiv w:val="1"/>
      <w:marLeft w:val="0"/>
      <w:marRight w:val="0"/>
      <w:marTop w:val="0"/>
      <w:marBottom w:val="0"/>
      <w:divBdr>
        <w:top w:val="none" w:sz="0" w:space="0" w:color="auto"/>
        <w:left w:val="none" w:sz="0" w:space="0" w:color="auto"/>
        <w:bottom w:val="none" w:sz="0" w:space="0" w:color="auto"/>
        <w:right w:val="none" w:sz="0" w:space="0" w:color="auto"/>
      </w:divBdr>
    </w:div>
    <w:div w:id="1442067134">
      <w:bodyDiv w:val="1"/>
      <w:marLeft w:val="0"/>
      <w:marRight w:val="0"/>
      <w:marTop w:val="0"/>
      <w:marBottom w:val="0"/>
      <w:divBdr>
        <w:top w:val="none" w:sz="0" w:space="0" w:color="auto"/>
        <w:left w:val="none" w:sz="0" w:space="0" w:color="auto"/>
        <w:bottom w:val="none" w:sz="0" w:space="0" w:color="auto"/>
        <w:right w:val="none" w:sz="0" w:space="0" w:color="auto"/>
      </w:divBdr>
    </w:div>
    <w:div w:id="1524129019">
      <w:bodyDiv w:val="1"/>
      <w:marLeft w:val="0"/>
      <w:marRight w:val="0"/>
      <w:marTop w:val="0"/>
      <w:marBottom w:val="0"/>
      <w:divBdr>
        <w:top w:val="none" w:sz="0" w:space="0" w:color="auto"/>
        <w:left w:val="none" w:sz="0" w:space="0" w:color="auto"/>
        <w:bottom w:val="none" w:sz="0" w:space="0" w:color="auto"/>
        <w:right w:val="none" w:sz="0" w:space="0" w:color="auto"/>
      </w:divBdr>
    </w:div>
    <w:div w:id="1573198544">
      <w:bodyDiv w:val="1"/>
      <w:marLeft w:val="0"/>
      <w:marRight w:val="0"/>
      <w:marTop w:val="0"/>
      <w:marBottom w:val="0"/>
      <w:divBdr>
        <w:top w:val="none" w:sz="0" w:space="0" w:color="auto"/>
        <w:left w:val="none" w:sz="0" w:space="0" w:color="auto"/>
        <w:bottom w:val="none" w:sz="0" w:space="0" w:color="auto"/>
        <w:right w:val="none" w:sz="0" w:space="0" w:color="auto"/>
      </w:divBdr>
    </w:div>
    <w:div w:id="1576864320">
      <w:bodyDiv w:val="1"/>
      <w:marLeft w:val="0"/>
      <w:marRight w:val="0"/>
      <w:marTop w:val="0"/>
      <w:marBottom w:val="0"/>
      <w:divBdr>
        <w:top w:val="none" w:sz="0" w:space="0" w:color="auto"/>
        <w:left w:val="none" w:sz="0" w:space="0" w:color="auto"/>
        <w:bottom w:val="none" w:sz="0" w:space="0" w:color="auto"/>
        <w:right w:val="none" w:sz="0" w:space="0" w:color="auto"/>
      </w:divBdr>
    </w:div>
    <w:div w:id="1587036017">
      <w:bodyDiv w:val="1"/>
      <w:marLeft w:val="0"/>
      <w:marRight w:val="0"/>
      <w:marTop w:val="0"/>
      <w:marBottom w:val="0"/>
      <w:divBdr>
        <w:top w:val="none" w:sz="0" w:space="0" w:color="auto"/>
        <w:left w:val="none" w:sz="0" w:space="0" w:color="auto"/>
        <w:bottom w:val="none" w:sz="0" w:space="0" w:color="auto"/>
        <w:right w:val="none" w:sz="0" w:space="0" w:color="auto"/>
      </w:divBdr>
    </w:div>
    <w:div w:id="1978873831">
      <w:bodyDiv w:val="1"/>
      <w:marLeft w:val="0"/>
      <w:marRight w:val="0"/>
      <w:marTop w:val="0"/>
      <w:marBottom w:val="0"/>
      <w:divBdr>
        <w:top w:val="none" w:sz="0" w:space="0" w:color="auto"/>
        <w:left w:val="none" w:sz="0" w:space="0" w:color="auto"/>
        <w:bottom w:val="none" w:sz="0" w:space="0" w:color="auto"/>
        <w:right w:val="none" w:sz="0" w:space="0" w:color="auto"/>
      </w:divBdr>
    </w:div>
    <w:div w:id="214060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alesgroup.com/en" TargetMode="External"/><Relationship Id="rId13" Type="http://schemas.openxmlformats.org/officeDocument/2006/relationships/hyperlink" Target="mailto:Lynne.Scott-WALTERS@thales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alesgroup.com/en/markets/digital-identity-and-security/government/biometrics/facial-recogni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halesgroup.com/en" TargetMode="External"/><Relationship Id="rId4" Type="http://schemas.openxmlformats.org/officeDocument/2006/relationships/settings" Target="settings.xml"/><Relationship Id="rId9" Type="http://schemas.openxmlformats.org/officeDocument/2006/relationships/hyperlink" Target="https://www.thalesgroup.com/en/markets/digital-identity-and-security/government/biometrics/facial-recognition"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paymentscardsandmobile.com/metal-payment-cards-give-financial-institutions-a-competitive-edge/" TargetMode="External"/><Relationship Id="rId2" Type="http://schemas.openxmlformats.org/officeDocument/2006/relationships/hyperlink" Target="https://www.abiresearch.com/press/metal-payment-card-shipments-exceed-90-million-units-2025-market-continues-its-significant-growth-trajectory/" TargetMode="External"/><Relationship Id="rId1" Type="http://schemas.openxmlformats.org/officeDocument/2006/relationships/hyperlink" Target="https://www.composecure.com/white-paper/the-growth-of-premium-metal-c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40EE1-F448-4AEC-8CC6-54C94F9E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1098</Words>
  <Characters>6593</Characters>
  <Application>Microsoft Office Word</Application>
  <DocSecurity>0</DocSecurity>
  <Lines>54</Lines>
  <Paragraphs>15</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Thales</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SAMAMA</dc:creator>
  <cp:keywords/>
  <dc:description/>
  <cp:lastModifiedBy>Bartosz Wegierek</cp:lastModifiedBy>
  <cp:revision>18</cp:revision>
  <dcterms:created xsi:type="dcterms:W3CDTF">2022-12-15T09:52:00Z</dcterms:created>
  <dcterms:modified xsi:type="dcterms:W3CDTF">2024-01-30T09:33:00Z</dcterms:modified>
</cp:coreProperties>
</file>